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12267214"/>
        <w:docPartObj>
          <w:docPartGallery w:val="Cover Pages"/>
          <w:docPartUnique/>
        </w:docPartObj>
      </w:sdtPr>
      <w:sdtEndPr>
        <w:rPr>
          <w:rFonts w:cs="Arial"/>
          <w:bCs w:val="0"/>
          <w:szCs w:val="20"/>
          <w:lang w:eastAsia="pl-PL"/>
        </w:rPr>
      </w:sdtEndPr>
      <w:sdtContent>
        <w:p w14:paraId="6742502E" w14:textId="77777777" w:rsidR="007D5039" w:rsidRDefault="007D5039"/>
        <w:tbl>
          <w:tblPr>
            <w:tblpPr w:leftFromText="141" w:rightFromText="141" w:vertAnchor="page" w:horzAnchor="margin" w:tblpXSpec="center" w:tblpY="2741"/>
            <w:tblW w:w="938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4A0" w:firstRow="1" w:lastRow="0" w:firstColumn="1" w:lastColumn="0" w:noHBand="0" w:noVBand="1"/>
          </w:tblPr>
          <w:tblGrid>
            <w:gridCol w:w="5665"/>
            <w:gridCol w:w="3719"/>
          </w:tblGrid>
          <w:tr w:rsidR="007D5039" w:rsidRPr="00812037" w14:paraId="5AC3985E" w14:textId="77777777" w:rsidTr="008E6015">
            <w:trPr>
              <w:trHeight w:hRule="exact" w:val="1862"/>
            </w:trPr>
            <w:tc>
              <w:tcPr>
                <w:tcW w:w="9384" w:type="dxa"/>
                <w:gridSpan w:val="2"/>
                <w:vAlign w:val="bottom"/>
              </w:tcPr>
              <w:p w14:paraId="760AD84A" w14:textId="13CF9FF4" w:rsidR="007D5039" w:rsidRPr="000712EA" w:rsidRDefault="007D5039" w:rsidP="008E6015">
                <w:pPr>
                  <w:spacing w:before="40" w:after="200" w:line="276" w:lineRule="auto"/>
                  <w:ind w:left="113" w:right="113"/>
                  <w:jc w:val="center"/>
                  <w:rPr>
                    <w:rFonts w:eastAsia="Calibri" w:cs="Arial"/>
                    <w:sz w:val="40"/>
                    <w:szCs w:val="40"/>
                    <w:lang w:val="sk-SK" w:eastAsia="en-US"/>
                  </w:rPr>
                </w:pPr>
                <w:r w:rsidRPr="007D5039">
                  <w:rPr>
                    <w:noProof/>
                    <w:lang w:val="sk-SK" w:eastAsia="sk-SK"/>
                  </w:rPr>
                  <w:drawing>
                    <wp:anchor distT="0" distB="0" distL="114300" distR="114300" simplePos="0" relativeHeight="251661312" behindDoc="1" locked="0" layoutInCell="1" allowOverlap="1" wp14:anchorId="57E34AD3" wp14:editId="45BA6FB2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255270</wp:posOffset>
                      </wp:positionV>
                      <wp:extent cx="687705" cy="648335"/>
                      <wp:effectExtent l="0" t="0" r="0" b="0"/>
                      <wp:wrapNone/>
                      <wp:docPr id="14" name="Obráze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48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7D5039">
                  <w:rPr>
                    <w:rFonts w:eastAsia="Calibri" w:cs="Arial"/>
                    <w:sz w:val="40"/>
                    <w:szCs w:val="40"/>
                    <w:lang w:val="sk-SK" w:eastAsia="en-US"/>
                  </w:rPr>
                  <w:t>Schválenie smernice č. 465/1</w:t>
                </w:r>
              </w:p>
              <w:p w14:paraId="19187816" w14:textId="77777777" w:rsidR="007D5039" w:rsidRPr="000712EA" w:rsidRDefault="007D5039" w:rsidP="008E6015">
                <w:pPr>
                  <w:spacing w:before="40" w:after="200" w:line="276" w:lineRule="auto"/>
                  <w:ind w:left="113" w:right="113"/>
                  <w:jc w:val="center"/>
                  <w:rPr>
                    <w:rFonts w:eastAsia="Calibri" w:cs="Arial"/>
                    <w:sz w:val="40"/>
                    <w:szCs w:val="40"/>
                    <w:lang w:val="sk-SK" w:eastAsia="en-US"/>
                  </w:rPr>
                </w:pPr>
                <w:r w:rsidRPr="000712EA">
                  <w:rPr>
                    <w:rFonts w:eastAsia="Calibri" w:cs="Arial"/>
                    <w:b/>
                    <w:sz w:val="40"/>
                    <w:szCs w:val="40"/>
                    <w:lang w:val="sk-SK" w:eastAsia="en-US"/>
                  </w:rPr>
                  <w:t>ORLEN Unipetrol Slovakia s. r. o.</w:t>
                </w:r>
              </w:p>
            </w:tc>
          </w:tr>
          <w:tr w:rsidR="007D5039" w:rsidRPr="00812037" w14:paraId="580671F9" w14:textId="77777777" w:rsidTr="008E6015">
            <w:trPr>
              <w:trHeight w:hRule="exact" w:val="1410"/>
            </w:trPr>
            <w:tc>
              <w:tcPr>
                <w:tcW w:w="5665" w:type="dxa"/>
                <w:hideMark/>
              </w:tcPr>
              <w:p w14:paraId="1CB926B7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Určené pre:</w:t>
                </w:r>
              </w:p>
              <w:p w14:paraId="060F08C9" w14:textId="77777777" w:rsidR="007D5039" w:rsidRPr="007D5039" w:rsidRDefault="007D5039" w:rsidP="008E6015">
                <w:pPr>
                  <w:spacing w:before="40" w:after="200"/>
                  <w:ind w:left="113" w:right="113"/>
                  <w:jc w:val="both"/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  <w:t xml:space="preserve">Spoločnosť ORLEN Unipetrol Slovakia </w:t>
                </w:r>
                <w:r w:rsidRPr="007D5039"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  <w:br/>
                  <w:t>s. r. o., jej konateľov a zamestnancov</w:t>
                </w:r>
              </w:p>
            </w:tc>
            <w:tc>
              <w:tcPr>
                <w:tcW w:w="3719" w:type="dxa"/>
              </w:tcPr>
              <w:p w14:paraId="09D0B361" w14:textId="77777777" w:rsid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Platnosť:</w:t>
                </w:r>
              </w:p>
              <w:p w14:paraId="267E5819" w14:textId="3B80E00C" w:rsidR="007D5039" w:rsidRPr="009D1949" w:rsidRDefault="007D5039" w:rsidP="00BB40B6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</w:pPr>
                <w:r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  <w:t xml:space="preserve">Od </w:t>
                </w:r>
                <w:r w:rsidR="00BB40B6"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  <w:t>06.03</w:t>
                </w:r>
                <w:r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  <w:t>.2023</w:t>
                </w:r>
              </w:p>
            </w:tc>
          </w:tr>
          <w:tr w:rsidR="007D5039" w:rsidRPr="00812037" w14:paraId="42E8EB86" w14:textId="77777777" w:rsidTr="008E6015">
            <w:trPr>
              <w:trHeight w:hRule="exact" w:val="1139"/>
            </w:trPr>
            <w:tc>
              <w:tcPr>
                <w:tcW w:w="5665" w:type="dxa"/>
              </w:tcPr>
              <w:p w14:paraId="0A4F54D2" w14:textId="77777777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0712EA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Predmet:</w:t>
                </w:r>
              </w:p>
              <w:p w14:paraId="2075BD54" w14:textId="1B2C2D58" w:rsid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</w:pPr>
                <w:proofErr w:type="spellStart"/>
                <w:r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  <w:t>Povolovanie</w:t>
                </w:r>
                <w:proofErr w:type="spellEnd"/>
                <w:r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  <w:t xml:space="preserve"> prác</w:t>
                </w:r>
              </w:p>
              <w:p w14:paraId="5FED0C77" w14:textId="77777777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</w:p>
            </w:tc>
            <w:tc>
              <w:tcPr>
                <w:tcW w:w="3719" w:type="dxa"/>
              </w:tcPr>
              <w:p w14:paraId="24041FFA" w14:textId="2F1A2BB5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812037">
                  <w:rPr>
                    <w:rFonts w:eastAsia="Calibri" w:cs="Arial"/>
                    <w:i/>
                    <w:sz w:val="22"/>
                    <w:szCs w:val="22"/>
                    <w:lang w:eastAsia="en-US"/>
                  </w:rPr>
                  <w:t xml:space="preserve">Číslo </w:t>
                </w:r>
                <w:r w:rsidRPr="000F243A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smernice</w:t>
                </w:r>
                <w:r>
                  <w:rPr>
                    <w:rFonts w:eastAsia="Calibri" w:cs="Arial"/>
                    <w:i/>
                    <w:sz w:val="22"/>
                    <w:szCs w:val="22"/>
                    <w:lang w:eastAsia="en-US"/>
                  </w:rPr>
                  <w:t>: 42/2023</w:t>
                </w:r>
              </w:p>
              <w:p w14:paraId="4D4B7F21" w14:textId="77777777" w:rsid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</w:pPr>
              </w:p>
              <w:p w14:paraId="6458EF80" w14:textId="77777777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</w:pPr>
              </w:p>
            </w:tc>
          </w:tr>
          <w:tr w:rsidR="007D5039" w:rsidRPr="00812037" w14:paraId="00B3C63C" w14:textId="77777777" w:rsidTr="008E6015">
            <w:trPr>
              <w:trHeight w:val="409"/>
            </w:trPr>
            <w:tc>
              <w:tcPr>
                <w:tcW w:w="5665" w:type="dxa"/>
              </w:tcPr>
              <w:p w14:paraId="7CA04E57" w14:textId="77777777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0712EA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Schválil:</w:t>
                </w:r>
              </w:p>
              <w:p w14:paraId="2CEA5791" w14:textId="17D69DC7" w:rsidR="007D5039" w:rsidRPr="000712EA" w:rsidRDefault="007D5039" w:rsidP="0034469B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0712EA"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  <w:t>konatelia na zasadnutí konateľov</w:t>
                </w:r>
              </w:p>
            </w:tc>
            <w:tc>
              <w:tcPr>
                <w:tcW w:w="3719" w:type="dxa"/>
              </w:tcPr>
              <w:p w14:paraId="352E282C" w14:textId="6743C4D8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0712EA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 xml:space="preserve">Dňa: </w:t>
                </w:r>
                <w:r w:rsidR="00BB40B6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06. 03</w:t>
                </w:r>
                <w:r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. 2023</w:t>
                </w:r>
              </w:p>
              <w:p w14:paraId="46C7F94C" w14:textId="77777777" w:rsidR="007D5039" w:rsidRPr="000712EA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sz w:val="22"/>
                    <w:szCs w:val="22"/>
                    <w:lang w:val="sk-SK" w:eastAsia="en-US"/>
                  </w:rPr>
                </w:pPr>
              </w:p>
            </w:tc>
          </w:tr>
          <w:tr w:rsidR="007D5039" w:rsidRPr="00812037" w14:paraId="409C1AFD" w14:textId="77777777" w:rsidTr="008E6015">
            <w:trPr>
              <w:trHeight w:val="312"/>
            </w:trPr>
            <w:tc>
              <w:tcPr>
                <w:tcW w:w="5665" w:type="dxa"/>
              </w:tcPr>
              <w:p w14:paraId="0BC89550" w14:textId="77777777" w:rsidR="007D5039" w:rsidRPr="007D5039" w:rsidRDefault="007D5039" w:rsidP="008E6015">
                <w:pPr>
                  <w:spacing w:before="40" w:after="200"/>
                  <w:ind w:left="113" w:right="113"/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 xml:space="preserve">Spracovateľ dokumentu: </w:t>
                </w:r>
                <w:r w:rsidRPr="007D5039">
                  <w:t xml:space="preserve"> </w:t>
                </w:r>
              </w:p>
              <w:p w14:paraId="2914C34E" w14:textId="219C57C6" w:rsidR="007D5039" w:rsidRPr="007D5039" w:rsidRDefault="007D5039" w:rsidP="007D5039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b/>
                  </w:rPr>
                  <w:t>ORLEN Unipetrol RPA s.r.o. – OBPR – Miloš Borový</w:t>
                </w:r>
              </w:p>
            </w:tc>
            <w:tc>
              <w:tcPr>
                <w:tcW w:w="3719" w:type="dxa"/>
              </w:tcPr>
              <w:p w14:paraId="1C9550E1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Správca dokumentu:</w:t>
                </w:r>
              </w:p>
              <w:p w14:paraId="274C9926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b/>
                  </w:rPr>
                  <w:t>ORLEN Unipetrol RPA s.r.o. - Odbor systémů řízení</w:t>
                </w:r>
              </w:p>
            </w:tc>
          </w:tr>
          <w:tr w:rsidR="007D5039" w:rsidRPr="00812037" w14:paraId="52C108FD" w14:textId="77777777" w:rsidTr="008E6015">
            <w:trPr>
              <w:trHeight w:hRule="exact" w:val="993"/>
            </w:trPr>
            <w:tc>
              <w:tcPr>
                <w:tcW w:w="5665" w:type="dxa"/>
              </w:tcPr>
              <w:p w14:paraId="3FC42561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Názov v jazyku pôvodu:</w:t>
                </w:r>
              </w:p>
              <w:p w14:paraId="62DAC4B7" w14:textId="50D6106B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</w:pPr>
                <w:proofErr w:type="spellStart"/>
                <w:r w:rsidRPr="007D5039"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  <w:t>Povolování</w:t>
                </w:r>
                <w:proofErr w:type="spellEnd"/>
                <w:r w:rsidRPr="007D5039"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  <w:t xml:space="preserve"> prací</w:t>
                </w:r>
              </w:p>
            </w:tc>
            <w:tc>
              <w:tcPr>
                <w:tcW w:w="3719" w:type="dxa"/>
              </w:tcPr>
              <w:p w14:paraId="7DB98F72" w14:textId="1640D8F6" w:rsidR="007D5039" w:rsidRPr="007D5039" w:rsidRDefault="007D5039" w:rsidP="007D5039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 xml:space="preserve">Číslo dokumentu u správcu dokumentu: </w:t>
                </w:r>
                <w:r w:rsidRPr="007D5039">
                  <w:rPr>
                    <w:rFonts w:eastAsia="Calibri" w:cs="Arial"/>
                    <w:b/>
                    <w:i/>
                    <w:sz w:val="22"/>
                    <w:szCs w:val="22"/>
                    <w:lang w:val="sk-SK" w:eastAsia="en-US"/>
                  </w:rPr>
                  <w:t>465/1</w:t>
                </w:r>
              </w:p>
            </w:tc>
          </w:tr>
          <w:tr w:rsidR="007D5039" w:rsidRPr="00812037" w14:paraId="556567B3" w14:textId="77777777" w:rsidTr="008E6015">
            <w:trPr>
              <w:trHeight w:val="178"/>
            </w:trPr>
            <w:tc>
              <w:tcPr>
                <w:tcW w:w="5665" w:type="dxa"/>
              </w:tcPr>
              <w:p w14:paraId="5282C66C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Verzia: 1.0</w:t>
                </w:r>
              </w:p>
            </w:tc>
            <w:tc>
              <w:tcPr>
                <w:tcW w:w="3719" w:type="dxa"/>
              </w:tcPr>
              <w:p w14:paraId="7E030861" w14:textId="09F975C6" w:rsidR="007D5039" w:rsidRPr="007D5039" w:rsidRDefault="007D5039" w:rsidP="007D5039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 xml:space="preserve">Zo dňa: 01.07.2021  </w:t>
                </w:r>
              </w:p>
            </w:tc>
          </w:tr>
          <w:tr w:rsidR="007D5039" w:rsidRPr="00812037" w14:paraId="4F716A56" w14:textId="77777777" w:rsidTr="008E6015">
            <w:trPr>
              <w:trHeight w:val="466"/>
            </w:trPr>
            <w:tc>
              <w:tcPr>
                <w:tcW w:w="5665" w:type="dxa"/>
              </w:tcPr>
              <w:p w14:paraId="2E481E9C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Nahrádza: N/A</w:t>
                </w:r>
              </w:p>
            </w:tc>
            <w:tc>
              <w:tcPr>
                <w:tcW w:w="3719" w:type="dxa"/>
              </w:tcPr>
              <w:p w14:paraId="1FCB25AF" w14:textId="77777777" w:rsidR="007D5039" w:rsidRPr="007D5039" w:rsidRDefault="007D5039" w:rsidP="008E6015">
                <w:pPr>
                  <w:spacing w:before="40" w:after="200"/>
                  <w:ind w:left="113" w:right="113"/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</w:pPr>
                <w:r w:rsidRPr="007D5039">
                  <w:rPr>
                    <w:rFonts w:eastAsia="Calibri" w:cs="Arial"/>
                    <w:i/>
                    <w:sz w:val="22"/>
                    <w:szCs w:val="22"/>
                    <w:lang w:val="sk-SK" w:eastAsia="en-US"/>
                  </w:rPr>
                  <w:t>Poznámky:</w:t>
                </w:r>
              </w:p>
            </w:tc>
          </w:tr>
          <w:tr w:rsidR="007D5039" w:rsidRPr="00812037" w14:paraId="32789B1C" w14:textId="77777777" w:rsidTr="008E6015">
            <w:trPr>
              <w:trHeight w:hRule="exact" w:val="2095"/>
            </w:trPr>
            <w:tc>
              <w:tcPr>
                <w:tcW w:w="9384" w:type="dxa"/>
                <w:gridSpan w:val="2"/>
              </w:tcPr>
              <w:p w14:paraId="4D09552F" w14:textId="7410D3AA" w:rsidR="007D5039" w:rsidRDefault="007D5039" w:rsidP="008E6015">
                <w:pPr>
                  <w:spacing w:before="40" w:after="200"/>
                  <w:ind w:left="113" w:right="113"/>
                  <w:jc w:val="both"/>
                  <w:rPr>
                    <w:rFonts w:eastAsia="Calibri"/>
                    <w:sz w:val="22"/>
                    <w:szCs w:val="22"/>
                    <w:lang w:val="sk-SK" w:eastAsia="en-US"/>
                  </w:rPr>
                </w:pPr>
                <w:r w:rsidRPr="009D1949">
                  <w:rPr>
                    <w:rFonts w:eastAsia="Calibri"/>
                    <w:sz w:val="22"/>
                    <w:szCs w:val="22"/>
                    <w:lang w:val="sk-SK" w:eastAsia="en-US"/>
                  </w:rPr>
                  <w:t>Konatelia spoločnosti ORLEN Unipetrol Slovakia s. r. o.</w:t>
                </w:r>
                <w:r>
                  <w:rPr>
                    <w:rFonts w:eastAsia="Calibri"/>
                    <w:sz w:val="22"/>
                    <w:szCs w:val="22"/>
                    <w:lang w:val="sk-SK" w:eastAsia="en-US"/>
                  </w:rPr>
                  <w:t xml:space="preserve"> (ďalej len „</w:t>
                </w:r>
                <w:r w:rsidRPr="009D1949">
                  <w:rPr>
                    <w:rFonts w:eastAsia="Calibri"/>
                    <w:b/>
                    <w:sz w:val="22"/>
                    <w:szCs w:val="22"/>
                    <w:lang w:val="sk-SK" w:eastAsia="en-US"/>
                  </w:rPr>
                  <w:t>Spoločnosť</w:t>
                </w:r>
                <w:r>
                  <w:rPr>
                    <w:rFonts w:eastAsia="Calibri"/>
                    <w:sz w:val="22"/>
                    <w:szCs w:val="22"/>
                    <w:lang w:val="sk-SK" w:eastAsia="en-US"/>
                  </w:rPr>
                  <w:t>“)</w:t>
                </w:r>
                <w:r w:rsidRPr="009D1949">
                  <w:rPr>
                    <w:rFonts w:eastAsia="Calibri"/>
                    <w:sz w:val="22"/>
                    <w:szCs w:val="22"/>
                    <w:lang w:val="sk-SK" w:eastAsia="en-US"/>
                  </w:rPr>
                  <w:t xml:space="preserve"> na zasadnutí konateľov dňa </w:t>
                </w:r>
                <w:r w:rsidR="00BB40B6">
                  <w:rPr>
                    <w:rFonts w:eastAsia="Calibri"/>
                    <w:sz w:val="22"/>
                    <w:szCs w:val="22"/>
                    <w:lang w:val="sk-SK" w:eastAsia="en-US"/>
                  </w:rPr>
                  <w:t>06.03</w:t>
                </w:r>
                <w:r>
                  <w:rPr>
                    <w:rFonts w:eastAsia="Calibri"/>
                    <w:sz w:val="22"/>
                    <w:szCs w:val="22"/>
                    <w:lang w:val="sk-SK" w:eastAsia="en-US"/>
                  </w:rPr>
                  <w:t>.2023</w:t>
                </w:r>
                <w:r w:rsidRPr="009D1949">
                  <w:rPr>
                    <w:rFonts w:eastAsia="Calibri"/>
                    <w:sz w:val="22"/>
                    <w:szCs w:val="22"/>
                    <w:lang w:val="sk-SK" w:eastAsia="en-US"/>
                  </w:rPr>
                  <w:t xml:space="preserve"> schválili nižšie pripojenú Smernicu </w:t>
                </w:r>
                <w:r w:rsidRPr="007D5039">
                  <w:rPr>
                    <w:rFonts w:eastAsia="Calibri"/>
                    <w:sz w:val="22"/>
                    <w:szCs w:val="22"/>
                    <w:lang w:val="sk-SK" w:eastAsia="en-US"/>
                  </w:rPr>
                  <w:t>č. 465/1 „</w:t>
                </w:r>
                <w:proofErr w:type="spellStart"/>
                <w:r w:rsidRPr="007D5039">
                  <w:rPr>
                    <w:rFonts w:eastAsia="Calibri"/>
                    <w:sz w:val="22"/>
                    <w:szCs w:val="22"/>
                    <w:lang w:val="sk-SK" w:eastAsia="en-US"/>
                  </w:rPr>
                  <w:t>Povolování</w:t>
                </w:r>
                <w:proofErr w:type="spellEnd"/>
                <w:r w:rsidRPr="007D5039">
                  <w:rPr>
                    <w:rFonts w:eastAsia="Calibri"/>
                    <w:sz w:val="22"/>
                    <w:szCs w:val="22"/>
                    <w:lang w:val="sk-SK" w:eastAsia="en-US"/>
                  </w:rPr>
                  <w:t xml:space="preserve"> prací“ (ďalej</w:t>
                </w:r>
                <w:r>
                  <w:rPr>
                    <w:rFonts w:eastAsia="Calibri"/>
                    <w:sz w:val="22"/>
                    <w:szCs w:val="22"/>
                    <w:lang w:val="sk-SK" w:eastAsia="en-US"/>
                  </w:rPr>
                  <w:t xml:space="preserve"> len „</w:t>
                </w:r>
                <w:r w:rsidRPr="009D1949">
                  <w:rPr>
                    <w:rFonts w:eastAsia="Calibri"/>
                    <w:b/>
                    <w:sz w:val="22"/>
                    <w:szCs w:val="22"/>
                    <w:lang w:val="sk-SK" w:eastAsia="en-US"/>
                  </w:rPr>
                  <w:t>Smernica</w:t>
                </w:r>
                <w:r>
                  <w:rPr>
                    <w:rFonts w:eastAsia="Calibri"/>
                    <w:sz w:val="22"/>
                    <w:szCs w:val="22"/>
                    <w:lang w:val="sk-SK" w:eastAsia="en-US"/>
                  </w:rPr>
                  <w:t>“)</w:t>
                </w:r>
                <w:r w:rsidRPr="009D1949">
                  <w:rPr>
                    <w:rFonts w:eastAsia="Calibri"/>
                    <w:sz w:val="22"/>
                    <w:szCs w:val="22"/>
                    <w:lang w:val="sk-SK" w:eastAsia="en-US"/>
                  </w:rPr>
                  <w:t xml:space="preserve">, </w:t>
                </w:r>
                <w:r>
                  <w:rPr>
                    <w:rFonts w:eastAsia="Calibri"/>
                    <w:sz w:val="22"/>
                    <w:szCs w:val="22"/>
                    <w:lang w:val="sk-SK" w:eastAsia="en-US"/>
                  </w:rPr>
                  <w:t>čím sa táto Smernica stáva účinná a záväzná pre Spoločnosť dňom jej schválenia.</w:t>
                </w:r>
              </w:p>
              <w:p w14:paraId="7A15D425" w14:textId="77777777" w:rsidR="007D5039" w:rsidRPr="009D1949" w:rsidRDefault="007D5039" w:rsidP="008E6015">
                <w:pPr>
                  <w:spacing w:before="40" w:after="200"/>
                  <w:ind w:left="113" w:right="113"/>
                  <w:jc w:val="both"/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</w:pPr>
                <w:r w:rsidRPr="009D1949"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>S obsahom tejto Smernice budú oboznámení všetci zamestnanci Spoločnosti</w:t>
                </w:r>
                <w:r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>, ktorých pracovnej náplne sa Smernica týka</w:t>
                </w:r>
                <w:r w:rsidRPr="009D1949"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 xml:space="preserve"> a</w:t>
                </w:r>
                <w:r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> </w:t>
                </w:r>
                <w:r w:rsidRPr="009D1949"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>každý</w:t>
                </w:r>
                <w:r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 xml:space="preserve"> takýto</w:t>
                </w:r>
                <w:r w:rsidRPr="009D1949"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 xml:space="preserve"> nový zamestnanec Spoločnosti</w:t>
                </w:r>
                <w:r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>, ktorého náplne sa Smernica bude týkať</w:t>
                </w:r>
                <w:r w:rsidRPr="009D1949">
                  <w:rPr>
                    <w:rFonts w:eastAsia="Calibri" w:cs="Arial"/>
                    <w:sz w:val="22"/>
                    <w:szCs w:val="22"/>
                    <w:lang w:val="sk-SK" w:eastAsia="en-US"/>
                  </w:rPr>
                  <w:t xml:space="preserve"> pri nástupe do pracovného pomeru.</w:t>
                </w:r>
              </w:p>
            </w:tc>
          </w:tr>
        </w:tbl>
        <w:p w14:paraId="67E09C1F" w14:textId="21F24B5F" w:rsidR="007D5039" w:rsidRDefault="007D5039"/>
        <w:p w14:paraId="5AA97B46" w14:textId="466EADDE" w:rsidR="007D5039" w:rsidRDefault="007D5039">
          <w:pPr>
            <w:spacing w:before="0"/>
            <w:rPr>
              <w:rFonts w:cs="Arial"/>
              <w:bCs w:val="0"/>
              <w:szCs w:val="20"/>
              <w:lang w:eastAsia="pl-PL"/>
            </w:rPr>
          </w:pPr>
          <w:r>
            <w:rPr>
              <w:rFonts w:cs="Arial"/>
              <w:bCs w:val="0"/>
              <w:szCs w:val="20"/>
              <w:lang w:eastAsia="pl-PL"/>
            </w:rPr>
            <w:br w:type="page"/>
          </w:r>
        </w:p>
      </w:sdtContent>
    </w:sdt>
    <w:p w14:paraId="3A4565F7" w14:textId="36071C5C" w:rsidR="008B2DFE" w:rsidRDefault="008B2DFE" w:rsidP="008B2DFE">
      <w:pPr>
        <w:rPr>
          <w:color w:val="808080"/>
        </w:rPr>
      </w:pPr>
      <w:r>
        <w:rPr>
          <w:color w:val="808080"/>
        </w:rPr>
        <w:lastRenderedPageBreak/>
        <w:t xml:space="preserve">Datum vytištění: </w:t>
      </w:r>
      <w:r>
        <w:rPr>
          <w:color w:val="808080"/>
        </w:rPr>
        <w:fldChar w:fldCharType="begin"/>
      </w:r>
      <w:r>
        <w:rPr>
          <w:color w:val="808080"/>
        </w:rPr>
        <w:instrText xml:space="preserve"> DATE  \@ "d. M. yyyy"  \* MERGEFORMAT </w:instrText>
      </w:r>
      <w:r>
        <w:rPr>
          <w:color w:val="808080"/>
        </w:rPr>
        <w:fldChar w:fldCharType="separate"/>
      </w:r>
      <w:r w:rsidR="00431F0E">
        <w:rPr>
          <w:noProof/>
          <w:color w:val="808080"/>
        </w:rPr>
        <w:t>13. 10. 2025</w:t>
      </w:r>
      <w:r>
        <w:rPr>
          <w:color w:val="808080"/>
        </w:rPr>
        <w:fldChar w:fldCharType="end"/>
      </w:r>
    </w:p>
    <w:p w14:paraId="13657818" w14:textId="77777777" w:rsidR="00E84E6F" w:rsidRDefault="00E84E6F"/>
    <w:p w14:paraId="36BCEF82" w14:textId="2CC4C8F0" w:rsidR="00E84E6F" w:rsidRDefault="00011BAB">
      <w:r>
        <w:rPr>
          <w:noProof/>
          <w:lang w:val="sk-SK" w:eastAsia="sk-SK"/>
        </w:rPr>
        <w:drawing>
          <wp:anchor distT="0" distB="0" distL="114300" distR="114300" simplePos="0" relativeHeight="251659264" behindDoc="0" locked="0" layoutInCell="1" allowOverlap="1" wp14:anchorId="48CB0EE5" wp14:editId="3107496D">
            <wp:simplePos x="716280" y="1828800"/>
            <wp:positionH relativeFrom="column">
              <wp:align>right</wp:align>
            </wp:positionH>
            <wp:positionV relativeFrom="paragraph">
              <wp:posOffset>75565</wp:posOffset>
            </wp:positionV>
            <wp:extent cx="1080000" cy="1080000"/>
            <wp:effectExtent l="0" t="0" r="6350" b="635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U_logo_veertical_small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3D3050" w14:textId="77777777" w:rsidR="00167765" w:rsidRDefault="00167765" w:rsidP="00167765">
      <w:r>
        <w:t>Rozsah platnosti:</w:t>
      </w:r>
    </w:p>
    <w:p w14:paraId="0B7317A0" w14:textId="4B6B6AF2" w:rsidR="00011BAB" w:rsidRDefault="00092C2D" w:rsidP="00167765">
      <w:r>
        <w:t>ORLEN Unipetrol</w:t>
      </w:r>
      <w:r w:rsidR="00167765">
        <w:t xml:space="preserve"> </w:t>
      </w:r>
      <w:r w:rsidR="00011BAB">
        <w:t>RPA</w:t>
      </w:r>
      <w:r w:rsidR="00167765">
        <w:t xml:space="preserve"> s.r.o.</w:t>
      </w:r>
      <w:r w:rsidR="00FE06CF">
        <w:t xml:space="preserve"> – BENZINA, odštěpný závod</w:t>
      </w:r>
    </w:p>
    <w:p w14:paraId="595E0F31" w14:textId="77777777" w:rsidR="00167765" w:rsidRDefault="00B843B5" w:rsidP="00167765">
      <w:pPr>
        <w:rPr>
          <w:color w:val="999999"/>
        </w:rPr>
      </w:pPr>
      <w:r w:rsidRPr="00B843B5">
        <w:t>ORLEN Unipetrol Slovakia s.r.o.</w:t>
      </w:r>
      <w:r w:rsidR="00167765">
        <w:br/>
      </w:r>
    </w:p>
    <w:p w14:paraId="0879C23D" w14:textId="77777777" w:rsidR="00E84E6F" w:rsidRDefault="00E84E6F"/>
    <w:p w14:paraId="421D662B" w14:textId="77777777" w:rsidR="00E84E6F" w:rsidRDefault="00E84E6F"/>
    <w:p w14:paraId="7CE54873" w14:textId="77777777" w:rsidR="00E84E6F" w:rsidRDefault="00E84E6F"/>
    <w:p w14:paraId="031952E6" w14:textId="77777777" w:rsidR="00E84E6F" w:rsidRDefault="00C15287"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F989E8E" wp14:editId="1D07A420">
                <wp:simplePos x="0" y="0"/>
                <wp:positionH relativeFrom="column">
                  <wp:posOffset>4518660</wp:posOffset>
                </wp:positionH>
                <wp:positionV relativeFrom="page">
                  <wp:posOffset>9461500</wp:posOffset>
                </wp:positionV>
                <wp:extent cx="1600200" cy="228600"/>
                <wp:effectExtent l="0" t="3175" r="0" b="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8358C" w14:textId="77777777" w:rsidR="006A4331" w:rsidRDefault="006A4331">
                            <w:pPr>
                              <w:jc w:val="right"/>
                            </w:pPr>
                            <w:r>
                              <w:rPr>
                                <w:color w:val="009490"/>
                                <w:sz w:val="14"/>
                              </w:rPr>
                              <w:t>Určeno pouze pro vnitřní potřebu</w:t>
                            </w:r>
                            <w:r>
                              <w:rPr>
                                <w:color w:val="99999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89E8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5.8pt;margin-top:745pt;width:12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bmeAIAAAAFAAAOAAAAZHJzL2Uyb0RvYy54bWysVNuO2yAQfa/Uf0C8Z32Rk42tOKu9NFWl&#10;7UXa7QcQwDEqBgok9rbaf++A4+xuL1JV1Q94gOEwM+cMq4uhk+jArRNa1Tg7SzHiimom1K7Gn+83&#10;syVGzhPFiNSK1/iBO3yxfv1q1ZuK57rVknGLAES5qjc1br03VZI42vKOuDNtuILNRtuOeJjaXcIs&#10;6QG9k0mepouk15YZqyl3DlZvxk28jvhNw6n/2DSOeyRrDLH5ONo4bsOYrFek2lliWkGPYZB/iKIj&#10;QsGlJ6gb4gnaW/ELVCeo1U43/ozqLtFNIyiPOUA2WfpTNnctMTzmAsVx5lQm9/9g6YfDJ4sEA+4y&#10;jBTpgKN7Pnh0pQc0D+XpjavA686Anx9gGVxjqs7cavrFIaWvW6J2/NJa3becMAgvCyeTZ0dHHBdA&#10;tv17zeAasvc6Ag2N7ULtoBoI0IGmhxM1IRQarlykKfCNEYW9PF/CNF5Bqum0sc6/5bpDwaixBeoj&#10;OjncOh+iIdXkEi5zWgq2EVLGid1tr6VFBwIy2cTviP7CTargrHQ4NiKOKxAk3BH2QriR9u9llhfp&#10;VV7ONovl+azYFPNZeZ4uZ2lWXpWLtCiLm81jCDArqlYwxtWtUHySYFb8HcXHZhjFE0WI+hqX83w+&#10;UvTHJNP4/S7JTnjoSCm6Gi9PTqQKxL5RDNImlSdCjnbyMvxYZajB9I9ViTIIzI8a8MN2AJSgja1m&#10;DyAIq4EvoBaeETBabb9h1ENL1th93RPLMZLvFIgq9O9k2MnYTgZRFI7W2GM0mtd+7PO9sWLXAvIo&#10;W6UvQXiNiJp4iuIoV2izGPzxSQh9/HwevZ4ervUPAAAA//8DAFBLAwQUAAYACAAAACEAoXAyu+EA&#10;AAANAQAADwAAAGRycy9kb3ducmV2LnhtbEyPzU7DMBCE70i8g7VIXBC1E8ClIU4FLb3BoT/q2Y1N&#10;EhGvo9hp0rdnOcFxZz7NzuTLybXsbPvQeFSQzAQwi6U3DVYKDvvN/TOwEDUa3Xq0Ci42wLK4vsp1&#10;ZvyIW3vexYpRCIZMK6hj7DLOQ1lbp8PMdxbJ+/K905HOvuKm1yOFu5anQkjudIP0odadXdW2/N4N&#10;ToFc98O4xdXd+vD+oT+7Kj2+XY5K3d5Mry/Aop3iHwy/9ak6FNTp5Ac0gbUK5kkiCSXjcSFoFSEL&#10;+UDSiaSnVArgRc7/ryh+AAAA//8DAFBLAQItABQABgAIAAAAIQC2gziS/gAAAOEBAAATAAAAAAAA&#10;AAAAAAAAAAAAAABbQ29udGVudF9UeXBlc10ueG1sUEsBAi0AFAAGAAgAAAAhADj9If/WAAAAlAEA&#10;AAsAAAAAAAAAAAAAAAAALwEAAF9yZWxzLy5yZWxzUEsBAi0AFAAGAAgAAAAhAN69BuZ4AgAAAAUA&#10;AA4AAAAAAAAAAAAAAAAALgIAAGRycy9lMm9Eb2MueG1sUEsBAi0AFAAGAAgAAAAhAKFwMrvhAAAA&#10;DQEAAA8AAAAAAAAAAAAAAAAA0gQAAGRycy9kb3ducmV2LnhtbFBLBQYAAAAABAAEAPMAAADgBQAA&#10;AAA=&#10;" stroked="f">
                <v:textbox inset="0,0,0,0">
                  <w:txbxContent>
                    <w:p w14:paraId="2E18358C" w14:textId="77777777" w:rsidR="006A4331" w:rsidRDefault="006A4331">
                      <w:pPr>
                        <w:jc w:val="right"/>
                      </w:pPr>
                      <w:r>
                        <w:rPr>
                          <w:color w:val="009490"/>
                          <w:sz w:val="14"/>
                        </w:rPr>
                        <w:t>Určeno pouze pro vnitřní potřebu</w:t>
                      </w:r>
                      <w:r>
                        <w:rPr>
                          <w:color w:val="999999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D8E036A" w14:textId="77777777" w:rsidR="00916DC9" w:rsidRDefault="00916DC9"/>
    <w:p w14:paraId="4C25ECC0" w14:textId="77777777" w:rsidR="00E84E6F" w:rsidRDefault="00E84E6F">
      <w:pPr>
        <w:pStyle w:val="Obsah1"/>
        <w:spacing w:line="240" w:lineRule="auto"/>
      </w:pPr>
    </w:p>
    <w:p w14:paraId="65F85A3D" w14:textId="77777777" w:rsidR="00E84E6F" w:rsidRDefault="00E84E6F"/>
    <w:p w14:paraId="03AAC3DC" w14:textId="77777777" w:rsidR="00E84E6F" w:rsidRDefault="00E84E6F"/>
    <w:p w14:paraId="49287F66" w14:textId="77777777" w:rsidR="00E84E6F" w:rsidRDefault="00C15287"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93020E3" wp14:editId="566A8652">
                <wp:simplePos x="0" y="0"/>
                <wp:positionH relativeFrom="column">
                  <wp:posOffset>0</wp:posOffset>
                </wp:positionH>
                <wp:positionV relativeFrom="page">
                  <wp:posOffset>3840480</wp:posOffset>
                </wp:positionV>
                <wp:extent cx="5783580" cy="309880"/>
                <wp:effectExtent l="0" t="1905" r="1905" b="254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358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DB2A2" w14:textId="77777777" w:rsidR="006A4331" w:rsidRDefault="006A4331">
                            <w:pPr>
                              <w:rPr>
                                <w:b/>
                                <w:bCs w:val="0"/>
                                <w:caps/>
                                <w:color w:val="00949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 w:val="0"/>
                                <w:caps/>
                                <w:color w:val="009490"/>
                                <w:sz w:val="24"/>
                              </w:rPr>
                              <w:t>povolování prací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020E3" id="Text Box 7" o:spid="_x0000_s1027" type="#_x0000_t202" style="position:absolute;margin-left:0;margin-top:302.4pt;width:455.4pt;height:2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vAewIAAAcFAAAOAAAAZHJzL2Uyb0RvYy54bWysVNtu3CAQfa/Uf0C8b2xvvFnbijfKpVtV&#10;Si9S0g9gAa9RbaDArp1G/fcOsN4kvUhVVT/gAYbDzJwznF+MfYf23FihZI2zkxQjLqliQm5r/Pl+&#10;PSswso5IRjoleY0fuMUXq9evzgdd8blqVce4QQAibTXoGrfO6SpJLG15T+yJ0lzCZqNMTxxMzTZh&#10;hgyA3nfJPE3PkkEZpo2i3FpYvYmbeBXwm4ZT97FpLHeoqzHE5sJowrjxY7I6J9XWEN0KegiD/EMU&#10;PRESLj1C3RBH0M6IX6B6QY2yqnEnVPWJahpBecgBssnSn7K5a4nmIRcojtXHMtn/B0s/7D8ZJBhw&#10;B+WRpAeO7vno0JUa0dKXZ9C2Aq87DX5uhGVwDalafavoF4ukum6J3PJLY9TQcsIgvMyfTJ4djTjW&#10;g2yG94rBNWTnVAAaG9P72kE1EKBDHA9HanwoFBYXy+J0UcAWhb3TtCzA9leQajqtjXVvueqRN2ps&#10;gPqATva31kXXycVfZlUn2Fp0XZiY7ea6M2hPQCbr8B3QX7h10jtL5Y9FxLgCQcIdfs+HG2h/LLN5&#10;nl7Ny9n6rFjO8nW+mJXLtJilWXlVnqV5md+sv/sAs7xqBWNc3grJJwlm+d9RfGiGKJ4gQjTUuFzM&#10;F5GiPyaZhu93SfbCQUd2oq9xcXQilSf2jWSQNqkcEV20k5fhB0KgBtM/VCXIwDMfNeDGzRgF52/3&#10;Etko9gC6MApoA4bhNQGjVeYbRgN0Zo3t1x0xHKPunQRtgYubDDMZm8kgksLRGjuMonntYrvvtBHb&#10;FpCjeqW6BP01IkjjKYqDaqHbQg6Hl8G38/N58Hp6v1Y/AAAA//8DAFBLAwQUAAYACAAAACEA4fRs&#10;Wt0AAAAIAQAADwAAAGRycy9kb3ducmV2LnhtbEyPQU/DMAyF70j8h8hIXBBLNqCC0nSCDW7jsDHt&#10;nDWmrWicKknX7t9jTnCz/Z6e31csJ9eJE4bYetIwnykQSJW3LdUa9p/vt48gYjJkTecJNZwxwrK8&#10;vChMbv1IWzztUi04hGJuNDQp9bmUsWrQmTjzPRJrXz44k3gNtbTBjBzuOrlQKpPOtMQfGtPjqsHq&#10;ezc4Ddk6DOOWVjfr/dvGfPT14vB6Pmh9fTW9PINIOKU/M/zW5+pQcqejH8hG0WlgkMRJ6p4BWH6a&#10;Kx6OfHm4y0CWhfwPUP4AAAD//wMAUEsBAi0AFAAGAAgAAAAhALaDOJL+AAAA4QEAABMAAAAAAAAA&#10;AAAAAAAAAAAAAFtDb250ZW50X1R5cGVzXS54bWxQSwECLQAUAAYACAAAACEAOP0h/9YAAACUAQAA&#10;CwAAAAAAAAAAAAAAAAAvAQAAX3JlbHMvLnJlbHNQSwECLQAUAAYACAAAACEA277LwHsCAAAHBQAA&#10;DgAAAAAAAAAAAAAAAAAuAgAAZHJzL2Uyb0RvYy54bWxQSwECLQAUAAYACAAAACEA4fRsWt0AAAAI&#10;AQAADwAAAAAAAAAAAAAAAADVBAAAZHJzL2Rvd25yZXYueG1sUEsFBgAAAAAEAAQA8wAAAN8FAAAA&#10;AA==&#10;" stroked="f">
                <v:textbox inset="0,0,0,0">
                  <w:txbxContent>
                    <w:p w14:paraId="125DB2A2" w14:textId="77777777" w:rsidR="006A4331" w:rsidRDefault="006A4331">
                      <w:pPr>
                        <w:rPr>
                          <w:b/>
                          <w:bCs w:val="0"/>
                          <w:caps/>
                          <w:color w:val="009490"/>
                          <w:sz w:val="24"/>
                        </w:rPr>
                      </w:pPr>
                      <w:r>
                        <w:rPr>
                          <w:b/>
                          <w:bCs w:val="0"/>
                          <w:caps/>
                          <w:color w:val="009490"/>
                          <w:sz w:val="24"/>
                        </w:rPr>
                        <w:t>povolování prací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31AC59E7" w14:textId="77777777" w:rsidR="00E84E6F" w:rsidRDefault="00E84E6F"/>
    <w:p w14:paraId="3C01B155" w14:textId="77777777" w:rsidR="00E84E6F" w:rsidRDefault="00E84E6F"/>
    <w:p w14:paraId="27FCEF7C" w14:textId="77777777" w:rsidR="00E84E6F" w:rsidRDefault="00E84E6F"/>
    <w:p w14:paraId="2D7C2736" w14:textId="77777777" w:rsidR="00E84E6F" w:rsidRDefault="00E84E6F"/>
    <w:p w14:paraId="0EF9212E" w14:textId="77777777" w:rsidR="00E84E6F" w:rsidRDefault="00E84E6F"/>
    <w:p w14:paraId="067A9E08" w14:textId="77777777" w:rsidR="00E84E6F" w:rsidRDefault="00E84E6F">
      <w:pPr>
        <w:pStyle w:val="Obsah1"/>
        <w:spacing w:line="240" w:lineRule="auto"/>
      </w:pPr>
    </w:p>
    <w:p w14:paraId="290D54DA" w14:textId="77777777" w:rsidR="00E84E6F" w:rsidRDefault="00E84E6F">
      <w:pPr>
        <w:pStyle w:val="Obsah1"/>
        <w:spacing w:line="240" w:lineRule="auto"/>
      </w:pPr>
    </w:p>
    <w:p w14:paraId="7F7CEEA8" w14:textId="77777777" w:rsidR="00E84E6F" w:rsidRDefault="00E84E6F">
      <w:pPr>
        <w:pStyle w:val="Obsah1"/>
        <w:spacing w:line="240" w:lineRule="auto"/>
      </w:pPr>
    </w:p>
    <w:p w14:paraId="76DC9D76" w14:textId="77777777" w:rsidR="00E84E6F" w:rsidRDefault="00E84E6F"/>
    <w:p w14:paraId="0891B095" w14:textId="77777777" w:rsidR="00E84E6F" w:rsidRDefault="00E84E6F">
      <w:pPr>
        <w:pStyle w:val="Obsah1"/>
        <w:spacing w:line="240" w:lineRule="auto"/>
      </w:pPr>
    </w:p>
    <w:p w14:paraId="582FE938" w14:textId="77777777" w:rsidR="005A52FD" w:rsidRDefault="005A52FD" w:rsidP="005A52FD"/>
    <w:p w14:paraId="4112DFD0" w14:textId="77777777" w:rsidR="005A52FD" w:rsidRPr="005A52FD" w:rsidRDefault="005A52FD" w:rsidP="005A52FD"/>
    <w:p w14:paraId="0C20F992" w14:textId="77777777" w:rsidR="00E84E6F" w:rsidRDefault="00E84E6F"/>
    <w:p w14:paraId="681302B2" w14:textId="77777777" w:rsidR="00E84E6F" w:rsidRDefault="00E84E6F"/>
    <w:p w14:paraId="3C5B4A65" w14:textId="77777777" w:rsidR="00E84E6F" w:rsidRDefault="00E84E6F"/>
    <w:p w14:paraId="1541D578" w14:textId="06AC2E11" w:rsidR="00E84E6F" w:rsidRDefault="00E84E6F">
      <w:pPr>
        <w:tabs>
          <w:tab w:val="right" w:pos="9638"/>
        </w:tabs>
      </w:pPr>
      <w:r>
        <w:t>Schválil:</w:t>
      </w:r>
      <w:r>
        <w:tab/>
      </w:r>
      <w:r w:rsidR="00011BAB">
        <w:t>Jednatel společnosti</w:t>
      </w:r>
      <w:r w:rsidR="006054A9">
        <w:t xml:space="preserve"> /</w:t>
      </w:r>
      <w:r w:rsidR="00FE06CF">
        <w:t xml:space="preserve"> </w:t>
      </w:r>
      <w:r w:rsidR="00011BAB">
        <w:t>v</w:t>
      </w:r>
      <w:r w:rsidR="00FE06CF">
        <w:t>edoucí odštěpného závodu</w:t>
      </w:r>
      <w:r w:rsidR="00A201A6">
        <w:t xml:space="preserve"> Benzina</w:t>
      </w:r>
    </w:p>
    <w:p w14:paraId="19A708BB" w14:textId="7F74F2DB" w:rsidR="00E84E6F" w:rsidRDefault="00E84E6F">
      <w:pPr>
        <w:tabs>
          <w:tab w:val="right" w:pos="9638"/>
        </w:tabs>
        <w:rPr>
          <w:bCs w:val="0"/>
        </w:rPr>
      </w:pPr>
      <w:r>
        <w:rPr>
          <w:bCs w:val="0"/>
        </w:rPr>
        <w:t>Platnost od:</w:t>
      </w:r>
      <w:r>
        <w:rPr>
          <w:bCs w:val="0"/>
        </w:rPr>
        <w:tab/>
      </w:r>
      <w:r w:rsidR="003C51BA">
        <w:rPr>
          <w:bCs w:val="0"/>
        </w:rPr>
        <w:t>1. 7. 2021</w:t>
      </w:r>
    </w:p>
    <w:p w14:paraId="3806A0E3" w14:textId="096B44A8" w:rsidR="00E84E6F" w:rsidRDefault="00E84E6F">
      <w:pPr>
        <w:tabs>
          <w:tab w:val="right" w:pos="9638"/>
        </w:tabs>
      </w:pPr>
      <w:r>
        <w:t>Správce dokumentu:</w:t>
      </w:r>
      <w:r>
        <w:tab/>
      </w:r>
      <w:r w:rsidR="00092C2D">
        <w:t>ORLEN Unipetrol</w:t>
      </w:r>
      <w:r>
        <w:t xml:space="preserve"> </w:t>
      </w:r>
      <w:r w:rsidR="00011BAB">
        <w:t>RPA</w:t>
      </w:r>
      <w:r>
        <w:t xml:space="preserve"> s.r.o. </w:t>
      </w:r>
      <w:r w:rsidR="00FE06CF">
        <w:t>–</w:t>
      </w:r>
      <w:r>
        <w:t xml:space="preserve"> </w:t>
      </w:r>
      <w:r w:rsidR="00A201A6">
        <w:t>odbor systémů řízení</w:t>
      </w:r>
    </w:p>
    <w:p w14:paraId="7156EBB8" w14:textId="640838BD" w:rsidR="00E84E6F" w:rsidRDefault="00E84E6F">
      <w:pPr>
        <w:tabs>
          <w:tab w:val="right" w:pos="9638"/>
        </w:tabs>
        <w:rPr>
          <w:bCs w:val="0"/>
        </w:rPr>
      </w:pPr>
      <w:r>
        <w:rPr>
          <w:bCs w:val="0"/>
        </w:rPr>
        <w:t>Zpracovatel:</w:t>
      </w:r>
      <w:r>
        <w:rPr>
          <w:bCs w:val="0"/>
        </w:rPr>
        <w:tab/>
      </w:r>
      <w:r w:rsidR="00092C2D">
        <w:t>ORLEN Unipetrol</w:t>
      </w:r>
      <w:r w:rsidR="00637D5E">
        <w:t xml:space="preserve"> </w:t>
      </w:r>
      <w:r w:rsidR="00011BAB">
        <w:t>RPA</w:t>
      </w:r>
      <w:r w:rsidR="00637D5E">
        <w:t xml:space="preserve"> s.r.o. -</w:t>
      </w:r>
      <w:r w:rsidR="00A201A6">
        <w:t xml:space="preserve"> </w:t>
      </w:r>
      <w:r w:rsidR="00515207">
        <w:t>OBPR</w:t>
      </w:r>
      <w:r w:rsidR="00637D5E" w:rsidRPr="008E090F">
        <w:t xml:space="preserve">, </w:t>
      </w:r>
      <w:r w:rsidR="00FE06CF">
        <w:t>Miloš Borový</w:t>
      </w:r>
    </w:p>
    <w:p w14:paraId="2E9DE815" w14:textId="77777777" w:rsidR="00E84E6F" w:rsidRDefault="00E84E6F"/>
    <w:p w14:paraId="7ADD3961" w14:textId="77777777" w:rsidR="00E84E6F" w:rsidRDefault="00E84E6F">
      <w:pPr>
        <w:spacing w:after="120"/>
        <w:rPr>
          <w:color w:val="009490"/>
          <w:sz w:val="24"/>
        </w:rPr>
      </w:pPr>
      <w:r>
        <w:br w:type="page"/>
      </w:r>
      <w:r>
        <w:rPr>
          <w:color w:val="009490"/>
          <w:sz w:val="24"/>
        </w:rPr>
        <w:lastRenderedPageBreak/>
        <w:t>Seznam změn</w:t>
      </w:r>
    </w:p>
    <w:tbl>
      <w:tblPr>
        <w:tblW w:w="97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900"/>
        <w:gridCol w:w="900"/>
        <w:gridCol w:w="3960"/>
        <w:gridCol w:w="1440"/>
        <w:gridCol w:w="1620"/>
      </w:tblGrid>
      <w:tr w:rsidR="00E84E6F" w14:paraId="60DD14AA" w14:textId="77777777">
        <w:trPr>
          <w:cantSplit/>
          <w:trHeight w:val="360"/>
        </w:trPr>
        <w:tc>
          <w:tcPr>
            <w:tcW w:w="915" w:type="dxa"/>
            <w:vMerge w:val="restart"/>
            <w:tcBorders>
              <w:top w:val="single" w:sz="4" w:space="0" w:color="009490"/>
              <w:left w:val="single" w:sz="4" w:space="0" w:color="009490"/>
              <w:bottom w:val="single" w:sz="4" w:space="0" w:color="FFFFFF"/>
              <w:right w:val="single" w:sz="4" w:space="0" w:color="FFFFFF"/>
            </w:tcBorders>
            <w:shd w:val="clear" w:color="auto" w:fill="008080"/>
            <w:noWrap/>
            <w:vAlign w:val="center"/>
          </w:tcPr>
          <w:p w14:paraId="13EF3095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Číslo změny</w:t>
            </w:r>
          </w:p>
        </w:tc>
        <w:tc>
          <w:tcPr>
            <w:tcW w:w="1800" w:type="dxa"/>
            <w:gridSpan w:val="2"/>
            <w:tcBorders>
              <w:top w:val="single" w:sz="4" w:space="0" w:color="00949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8080"/>
            <w:vAlign w:val="center"/>
          </w:tcPr>
          <w:p w14:paraId="5A277ECC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Číslo strany</w:t>
            </w:r>
          </w:p>
        </w:tc>
        <w:tc>
          <w:tcPr>
            <w:tcW w:w="3960" w:type="dxa"/>
            <w:vMerge w:val="restart"/>
            <w:tcBorders>
              <w:top w:val="single" w:sz="4" w:space="0" w:color="00949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8080"/>
            <w:vAlign w:val="center"/>
          </w:tcPr>
          <w:p w14:paraId="38383A91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Předmět změny</w:t>
            </w:r>
          </w:p>
        </w:tc>
        <w:tc>
          <w:tcPr>
            <w:tcW w:w="1440" w:type="dxa"/>
            <w:vMerge w:val="restart"/>
            <w:tcBorders>
              <w:top w:val="single" w:sz="4" w:space="0" w:color="00949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8080"/>
            <w:vAlign w:val="center"/>
          </w:tcPr>
          <w:p w14:paraId="602B9A13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Platnost od</w:t>
            </w:r>
          </w:p>
        </w:tc>
        <w:tc>
          <w:tcPr>
            <w:tcW w:w="1620" w:type="dxa"/>
            <w:vMerge w:val="restart"/>
            <w:tcBorders>
              <w:top w:val="single" w:sz="4" w:space="0" w:color="009490"/>
              <w:left w:val="single" w:sz="4" w:space="0" w:color="FFFFFF"/>
              <w:bottom w:val="single" w:sz="4" w:space="0" w:color="FFFFFF"/>
              <w:right w:val="single" w:sz="4" w:space="0" w:color="009490"/>
            </w:tcBorders>
            <w:shd w:val="clear" w:color="auto" w:fill="008080"/>
            <w:vAlign w:val="center"/>
          </w:tcPr>
          <w:p w14:paraId="03C2BD19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Schválil (funkce, podpis)</w:t>
            </w:r>
          </w:p>
        </w:tc>
      </w:tr>
      <w:tr w:rsidR="00E84E6F" w14:paraId="3C726C49" w14:textId="77777777">
        <w:trPr>
          <w:cantSplit/>
          <w:trHeight w:val="405"/>
        </w:trPr>
        <w:tc>
          <w:tcPr>
            <w:tcW w:w="915" w:type="dxa"/>
            <w:vMerge/>
            <w:tcBorders>
              <w:top w:val="single" w:sz="4" w:space="0" w:color="FFFFFF"/>
              <w:left w:val="single" w:sz="4" w:space="0" w:color="009490"/>
              <w:bottom w:val="single" w:sz="4" w:space="0" w:color="009490"/>
              <w:right w:val="single" w:sz="4" w:space="0" w:color="FFFFFF"/>
            </w:tcBorders>
            <w:vAlign w:val="center"/>
          </w:tcPr>
          <w:p w14:paraId="1C6E9A86" w14:textId="77777777" w:rsidR="00E84E6F" w:rsidRDefault="00E84E6F"/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009490"/>
              <w:right w:val="single" w:sz="4" w:space="0" w:color="FFFFFF"/>
            </w:tcBorders>
            <w:shd w:val="clear" w:color="auto" w:fill="008080"/>
            <w:vAlign w:val="center"/>
          </w:tcPr>
          <w:p w14:paraId="5A2AB535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vyjmuté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009490"/>
              <w:right w:val="single" w:sz="4" w:space="0" w:color="FFFFFF"/>
            </w:tcBorders>
            <w:shd w:val="clear" w:color="auto" w:fill="008080"/>
            <w:vAlign w:val="center"/>
          </w:tcPr>
          <w:p w14:paraId="3376AABD" w14:textId="77777777" w:rsidR="00E84E6F" w:rsidRDefault="00E84E6F">
            <w:pPr>
              <w:spacing w:before="0"/>
              <w:jc w:val="center"/>
              <w:rPr>
                <w:color w:val="FFFFFF"/>
                <w:sz w:val="18"/>
              </w:rPr>
            </w:pPr>
            <w:r>
              <w:rPr>
                <w:color w:val="FFFFFF"/>
                <w:sz w:val="18"/>
              </w:rPr>
              <w:t>vložené</w:t>
            </w:r>
          </w:p>
        </w:tc>
        <w:tc>
          <w:tcPr>
            <w:tcW w:w="39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009490"/>
              <w:right w:val="single" w:sz="4" w:space="0" w:color="FFFFFF"/>
            </w:tcBorders>
            <w:vAlign w:val="center"/>
          </w:tcPr>
          <w:p w14:paraId="6A80F17E" w14:textId="77777777" w:rsidR="00E84E6F" w:rsidRDefault="00E84E6F"/>
        </w:tc>
        <w:tc>
          <w:tcPr>
            <w:tcW w:w="14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009490"/>
              <w:right w:val="single" w:sz="4" w:space="0" w:color="FFFFFF"/>
            </w:tcBorders>
            <w:vAlign w:val="center"/>
          </w:tcPr>
          <w:p w14:paraId="6FBD70FF" w14:textId="77777777" w:rsidR="00E84E6F" w:rsidRDefault="00E84E6F"/>
        </w:tc>
        <w:tc>
          <w:tcPr>
            <w:tcW w:w="162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009490"/>
              <w:right w:val="single" w:sz="4" w:space="0" w:color="009490"/>
            </w:tcBorders>
            <w:vAlign w:val="center"/>
          </w:tcPr>
          <w:p w14:paraId="51A4DB00" w14:textId="77777777" w:rsidR="00E84E6F" w:rsidRDefault="00E84E6F"/>
        </w:tc>
      </w:tr>
      <w:tr w:rsidR="00E84E6F" w:rsidRPr="00332B2A" w14:paraId="69DD3CCD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CB10BD5" w14:textId="77777777" w:rsidR="00E84E6F" w:rsidRPr="00D008FD" w:rsidRDefault="00CA6B21" w:rsidP="00332B2A">
            <w:pPr>
              <w:spacing w:before="20" w:after="20"/>
              <w:jc w:val="center"/>
            </w:pPr>
            <w:r w:rsidRPr="00D008FD">
              <w:t>1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F1F9FA6" w14:textId="77777777" w:rsidR="00E84E6F" w:rsidRPr="00332B2A" w:rsidRDefault="00E84E6F">
            <w:pPr>
              <w:spacing w:before="20" w:after="20"/>
              <w:rPr>
                <w:color w:val="FF0000"/>
              </w:rPr>
            </w:pP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B3CA920" w14:textId="77777777" w:rsidR="00E84E6F" w:rsidRPr="00332B2A" w:rsidRDefault="00E84E6F">
            <w:pPr>
              <w:spacing w:before="20" w:after="20"/>
              <w:rPr>
                <w:color w:val="FF0000"/>
              </w:rPr>
            </w:pP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1311A59" w14:textId="77777777" w:rsidR="00E84E6F" w:rsidRPr="00332B2A" w:rsidRDefault="00E84E6F" w:rsidP="00332B2A">
            <w:pPr>
              <w:spacing w:before="20" w:after="20"/>
              <w:rPr>
                <w:color w:val="FF0000"/>
              </w:rPr>
            </w:pP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3CCAD90" w14:textId="77777777" w:rsidR="00E84E6F" w:rsidRPr="00332B2A" w:rsidRDefault="00E84E6F" w:rsidP="00111B9B">
            <w:pPr>
              <w:spacing w:before="20" w:after="20"/>
              <w:rPr>
                <w:color w:val="FF0000"/>
              </w:rPr>
            </w:pP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E2B3000" w14:textId="77777777" w:rsidR="00E84E6F" w:rsidRPr="00332B2A" w:rsidRDefault="00E84E6F">
            <w:pPr>
              <w:spacing w:before="20" w:after="20"/>
              <w:rPr>
                <w:color w:val="FF0000"/>
              </w:rPr>
            </w:pPr>
          </w:p>
        </w:tc>
      </w:tr>
      <w:tr w:rsidR="00E84E6F" w14:paraId="16FF7651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7726547" w14:textId="77777777" w:rsidR="00E84E6F" w:rsidRDefault="00E84E6F">
            <w:pPr>
              <w:spacing w:before="0"/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AA448B5" w14:textId="77777777" w:rsidR="00E84E6F" w:rsidRDefault="00E84E6F">
            <w:pPr>
              <w:spacing w:before="20" w:after="20"/>
            </w:pP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B86218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3C0B605" w14:textId="77777777" w:rsidR="00E84E6F" w:rsidRDefault="00E84E6F">
            <w:pPr>
              <w:spacing w:before="20" w:after="20"/>
              <w:rPr>
                <w:bCs w:val="0"/>
              </w:rPr>
            </w:pPr>
            <w:r>
              <w:rPr>
                <w:bCs w:val="0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313BB66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709333C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20A87DB1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16ABC05" w14:textId="77777777" w:rsidR="00E84E6F" w:rsidRDefault="00E84E6F">
            <w:pPr>
              <w:spacing w:before="0"/>
              <w:jc w:val="center"/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6BBE74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1A56CDD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24DFF60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54ADC58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3F3F26F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662555F1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AEAC251" w14:textId="77777777" w:rsidR="00E84E6F" w:rsidRDefault="00E84E6F">
            <w:pPr>
              <w:spacing w:before="0"/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B2DA785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1806A2A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675A6B8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A89DC67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5D92320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0E020810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15EFE27" w14:textId="77777777" w:rsidR="00E84E6F" w:rsidRDefault="00E84E6F">
            <w:pPr>
              <w:spacing w:before="0"/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44904D1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04AC049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EBF7BD3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2FE162F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8A5DC51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22AA1A6E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EFC125E" w14:textId="77777777" w:rsidR="00E84E6F" w:rsidRDefault="00E84E6F">
            <w:pPr>
              <w:spacing w:before="0"/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759A812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5918133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A164005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2A2C606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993B597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70103EB8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2C4A6C1" w14:textId="77777777" w:rsidR="00E84E6F" w:rsidRDefault="00E84E6F">
            <w:pPr>
              <w:spacing w:before="0"/>
              <w:jc w:val="center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D3E2E2C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57E5C1F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BA10121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AB53019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402F225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3B9BE137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A430B69" w14:textId="77777777" w:rsidR="00E84E6F" w:rsidRDefault="00E84E6F">
            <w:pPr>
              <w:spacing w:before="0"/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9198AA5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3E8AB11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FF77DD3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4A2C88A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3F43B83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1F8A44E4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61BBF8A" w14:textId="77777777" w:rsidR="00E84E6F" w:rsidRDefault="00E84E6F">
            <w:pPr>
              <w:spacing w:before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18FF2B0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A5E36D0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B697A1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87E9F5A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CB3F9FC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32CA42DB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6819A8D" w14:textId="77777777" w:rsidR="00E84E6F" w:rsidRDefault="00E84E6F">
            <w:pPr>
              <w:spacing w:before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512BDC9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B078217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A167D6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BD6ACF8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5B66EED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027A1DB4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4738D59" w14:textId="77777777" w:rsidR="00E84E6F" w:rsidRDefault="00E84E6F">
            <w:pPr>
              <w:spacing w:before="0"/>
              <w:jc w:val="center"/>
            </w:pPr>
            <w:r>
              <w:t>11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002553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48CF10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E089582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A5C5385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2FD1778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66FBCF04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1D24454" w14:textId="77777777" w:rsidR="00E84E6F" w:rsidRDefault="00E84E6F">
            <w:pPr>
              <w:spacing w:before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A941E5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F5DAA1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752A85F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911F598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1077AB9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464813FF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541B50D" w14:textId="77777777" w:rsidR="00E84E6F" w:rsidRDefault="00E84E6F">
            <w:pPr>
              <w:spacing w:before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4CBA371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349F939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7EACB03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57AFA9F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9ED7902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42ACF611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6340869" w14:textId="77777777" w:rsidR="00E84E6F" w:rsidRDefault="00E84E6F">
            <w:pPr>
              <w:spacing w:before="0"/>
              <w:jc w:val="center"/>
            </w:pPr>
            <w:r>
              <w:t>14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53377C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28668F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9752ECF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F9190B1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E68B9CE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06249E13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068C91D" w14:textId="77777777" w:rsidR="00E84E6F" w:rsidRDefault="00E84E6F">
            <w:pPr>
              <w:spacing w:before="0"/>
              <w:jc w:val="center"/>
            </w:pPr>
            <w:r>
              <w:t>15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EF81655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E7D8895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0ED8BDA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41B0E3A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CFD8D5A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413AA5E0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5D0F35A" w14:textId="77777777" w:rsidR="00E84E6F" w:rsidRDefault="00E84E6F">
            <w:pPr>
              <w:spacing w:before="0"/>
              <w:jc w:val="center"/>
            </w:pPr>
            <w:r>
              <w:t>16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C14A33A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EC6D89D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D70D247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C3FE66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A77CE85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5CA6A9E8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1FA48E3" w14:textId="77777777" w:rsidR="00E84E6F" w:rsidRDefault="00E84E6F">
            <w:pPr>
              <w:spacing w:before="0"/>
              <w:jc w:val="center"/>
            </w:pPr>
            <w:r>
              <w:t>17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9CADD0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68DD74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A88435D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88D23C6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9A2265D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519F1E5A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0D10752" w14:textId="77777777" w:rsidR="00E84E6F" w:rsidRDefault="00E84E6F">
            <w:pPr>
              <w:spacing w:before="0"/>
              <w:jc w:val="center"/>
            </w:pPr>
            <w:r>
              <w:t>18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E1286B0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7C60D17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3F11A2C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385FCA0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36395C85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56463C10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05C39D6" w14:textId="77777777" w:rsidR="00E84E6F" w:rsidRDefault="00E84E6F">
            <w:pPr>
              <w:spacing w:before="0"/>
              <w:jc w:val="center"/>
            </w:pPr>
            <w:r>
              <w:t>19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D23AA19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6C415560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1752AFB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6FE9043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0EF13335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  <w:tr w:rsidR="00E84E6F" w14:paraId="3F5023E0" w14:textId="77777777">
        <w:trPr>
          <w:trHeight w:val="525"/>
        </w:trPr>
        <w:tc>
          <w:tcPr>
            <w:tcW w:w="915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5F7B1A69" w14:textId="77777777" w:rsidR="00E84E6F" w:rsidRDefault="00E84E6F">
            <w:pPr>
              <w:spacing w:before="0"/>
              <w:jc w:val="center"/>
            </w:pPr>
            <w:r>
              <w:t>20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0B11DD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90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75D37A74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396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4D0DA5CE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44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1F9EBECF" w14:textId="77777777" w:rsidR="00E84E6F" w:rsidRDefault="00E84E6F">
            <w:pPr>
              <w:spacing w:before="20" w:after="20"/>
            </w:pPr>
            <w:r>
              <w:t> </w:t>
            </w:r>
          </w:p>
        </w:tc>
        <w:tc>
          <w:tcPr>
            <w:tcW w:w="1620" w:type="dxa"/>
            <w:tcBorders>
              <w:top w:val="single" w:sz="4" w:space="0" w:color="009490"/>
              <w:left w:val="single" w:sz="4" w:space="0" w:color="009490"/>
              <w:bottom w:val="single" w:sz="4" w:space="0" w:color="009490"/>
              <w:right w:val="single" w:sz="4" w:space="0" w:color="009490"/>
            </w:tcBorders>
            <w:shd w:val="clear" w:color="auto" w:fill="C0C0C0"/>
            <w:vAlign w:val="center"/>
          </w:tcPr>
          <w:p w14:paraId="280ABF0D" w14:textId="77777777" w:rsidR="00E84E6F" w:rsidRDefault="00E84E6F">
            <w:pPr>
              <w:spacing w:before="20" w:after="20"/>
            </w:pPr>
            <w:r>
              <w:t> </w:t>
            </w:r>
          </w:p>
        </w:tc>
      </w:tr>
    </w:tbl>
    <w:p w14:paraId="007D0D2A" w14:textId="77777777" w:rsidR="00E84E6F" w:rsidRDefault="00E84E6F">
      <w:r>
        <w:t>Upozornění: Změnové řízení je prováděno dle Směrnice 821.</w:t>
      </w:r>
    </w:p>
    <w:p w14:paraId="586EADFE" w14:textId="77777777" w:rsidR="00E233CD" w:rsidRDefault="00E233CD"/>
    <w:p w14:paraId="2915C9C9" w14:textId="77777777" w:rsidR="00E233CD" w:rsidRDefault="00E233CD"/>
    <w:p w14:paraId="43EAE129" w14:textId="77777777" w:rsidR="00E233CD" w:rsidRDefault="00E233CD"/>
    <w:p w14:paraId="0F1216A1" w14:textId="15D47FA0" w:rsidR="00E31EF9" w:rsidRPr="00292BCC" w:rsidRDefault="00E31EF9">
      <w:pPr>
        <w:pStyle w:val="Obsah1"/>
        <w:tabs>
          <w:tab w:val="left" w:pos="400"/>
          <w:tab w:val="right" w:leader="dot" w:pos="9628"/>
        </w:tabs>
        <w:rPr>
          <w:b/>
          <w:color w:val="009490"/>
          <w:sz w:val="24"/>
        </w:rPr>
      </w:pPr>
      <w:r w:rsidRPr="00292BCC">
        <w:rPr>
          <w:b/>
          <w:color w:val="009490"/>
          <w:sz w:val="24"/>
        </w:rPr>
        <w:lastRenderedPageBreak/>
        <w:t>Obsah</w:t>
      </w:r>
    </w:p>
    <w:p w14:paraId="78B5150F" w14:textId="2B91AFCD" w:rsidR="00E31EF9" w:rsidRDefault="00E233CD">
      <w:pPr>
        <w:pStyle w:val="Obsah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0486829" w:history="1">
        <w:r w:rsidR="00E31EF9" w:rsidRPr="00556856">
          <w:rPr>
            <w:rStyle w:val="Hypertextovprepojenie"/>
            <w:noProof/>
          </w:rPr>
          <w:t>1</w:t>
        </w:r>
        <w:r w:rsidR="00E31EF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E31EF9" w:rsidRPr="00556856">
          <w:rPr>
            <w:rStyle w:val="Hypertextovprepojenie"/>
            <w:noProof/>
          </w:rPr>
          <w:t>Účel</w:t>
        </w:r>
        <w:r w:rsidR="00E31EF9">
          <w:rPr>
            <w:noProof/>
            <w:webHidden/>
          </w:rPr>
          <w:tab/>
        </w:r>
        <w:r w:rsidR="00E31EF9">
          <w:rPr>
            <w:noProof/>
            <w:webHidden/>
          </w:rPr>
          <w:fldChar w:fldCharType="begin"/>
        </w:r>
        <w:r w:rsidR="00E31EF9">
          <w:rPr>
            <w:noProof/>
            <w:webHidden/>
          </w:rPr>
          <w:instrText xml:space="preserve"> PAGEREF _Toc70486829 \h </w:instrText>
        </w:r>
        <w:r w:rsidR="00E31EF9">
          <w:rPr>
            <w:noProof/>
            <w:webHidden/>
          </w:rPr>
        </w:r>
        <w:r w:rsidR="00E31EF9">
          <w:rPr>
            <w:noProof/>
            <w:webHidden/>
          </w:rPr>
          <w:fldChar w:fldCharType="separate"/>
        </w:r>
        <w:r w:rsidR="00E31EF9">
          <w:rPr>
            <w:noProof/>
            <w:webHidden/>
          </w:rPr>
          <w:t>4</w:t>
        </w:r>
        <w:r w:rsidR="00E31EF9">
          <w:rPr>
            <w:noProof/>
            <w:webHidden/>
          </w:rPr>
          <w:fldChar w:fldCharType="end"/>
        </w:r>
      </w:hyperlink>
    </w:p>
    <w:p w14:paraId="55F5DCC1" w14:textId="745DFADD" w:rsidR="00E31EF9" w:rsidRDefault="00E31EF9">
      <w:pPr>
        <w:pStyle w:val="Obsah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0" w:history="1">
        <w:r w:rsidRPr="00556856">
          <w:rPr>
            <w:rStyle w:val="Hypertextovprepojenie"/>
            <w:noProof/>
          </w:rPr>
          <w:t>2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Rozsah platnosti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422BF24" w14:textId="576447EE" w:rsidR="00E31EF9" w:rsidRDefault="00E31EF9">
      <w:pPr>
        <w:pStyle w:val="Obsah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1" w:history="1">
        <w:r w:rsidRPr="00556856">
          <w:rPr>
            <w:rStyle w:val="Hypertextovprepojenie"/>
            <w:noProof/>
          </w:rPr>
          <w:t>3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Pojmy, definice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40B988D" w14:textId="7C728571" w:rsidR="00E31EF9" w:rsidRDefault="00E31EF9">
      <w:pPr>
        <w:pStyle w:val="Obsah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4" w:history="1">
        <w:r w:rsidRPr="00556856">
          <w:rPr>
            <w:rStyle w:val="Hypertextovprepojenie"/>
            <w:noProof/>
          </w:rPr>
          <w:t>4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Povolování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BE83635" w14:textId="6C0E32D0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5" w:history="1">
        <w:r w:rsidRPr="00556856">
          <w:rPr>
            <w:rStyle w:val="Hypertextovprepojenie"/>
            <w:noProof/>
          </w:rPr>
          <w:t>4.1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Účastníci povolovacího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74790D" w14:textId="77942DDD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6" w:history="1">
        <w:r w:rsidRPr="00556856">
          <w:rPr>
            <w:rStyle w:val="Hypertextovprepojenie"/>
            <w:noProof/>
          </w:rPr>
          <w:t>4.2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Způsoby povolování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D54D3D7" w14:textId="78917C7D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7" w:history="1">
        <w:r w:rsidRPr="00556856">
          <w:rPr>
            <w:rStyle w:val="Hypertextovprepojenie"/>
            <w:noProof/>
          </w:rPr>
          <w:t>4.3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Postup povolování zapsaných prací (ZP)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A4FE380" w14:textId="7CF4F9FF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8" w:history="1">
        <w:r w:rsidRPr="00556856">
          <w:rPr>
            <w:rStyle w:val="Hypertextovprepojenie"/>
            <w:noProof/>
          </w:rPr>
          <w:t>4.4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Postup povolování prací na písemné povolení k práci (PkP)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5D7A435" w14:textId="749162F1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39" w:history="1">
        <w:r w:rsidRPr="00556856">
          <w:rPr>
            <w:rStyle w:val="Hypertextovprepojenie"/>
            <w:noProof/>
          </w:rPr>
          <w:t>4.5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Příprava pracoviště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CC33EA7" w14:textId="6F7A189F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0" w:history="1">
        <w:r w:rsidRPr="00556856">
          <w:rPr>
            <w:rStyle w:val="Hypertextovprepojenie"/>
            <w:noProof/>
          </w:rPr>
          <w:t>4.6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Stav pracoviště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9474564" w14:textId="22277717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1" w:history="1">
        <w:r w:rsidRPr="00556856">
          <w:rPr>
            <w:rStyle w:val="Hypertextovprepojenie"/>
            <w:noProof/>
          </w:rPr>
          <w:t>4.7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Definice prostorů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E3DD40F" w14:textId="030224C7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2" w:history="1">
        <w:r w:rsidRPr="00556856">
          <w:rPr>
            <w:rStyle w:val="Hypertextovprepojenie"/>
            <w:noProof/>
          </w:rPr>
          <w:t>4.8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Definice prací a jejich specifikace dle jednotlivých prostorů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4FD2F46" w14:textId="0A0F587E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3" w:history="1">
        <w:r w:rsidRPr="00556856">
          <w:rPr>
            <w:rStyle w:val="Hypertextovprepojenie"/>
            <w:noProof/>
          </w:rPr>
          <w:t>4.9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Stanovení podmínek s ohledem na prostor a druh vykonávané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00B5298" w14:textId="159CA93C" w:rsidR="00E31EF9" w:rsidRDefault="00E31EF9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4" w:history="1">
        <w:r w:rsidRPr="00556856">
          <w:rPr>
            <w:rStyle w:val="Hypertextovprepojenie"/>
            <w:noProof/>
          </w:rPr>
          <w:t>4.10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Kontrola a sankce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D6C539A" w14:textId="42A40E0A" w:rsidR="00E31EF9" w:rsidRDefault="00E31EF9">
      <w:pPr>
        <w:pStyle w:val="Obsah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5" w:history="1">
        <w:r w:rsidRPr="00556856">
          <w:rPr>
            <w:rStyle w:val="Hypertextovprepojenie"/>
            <w:noProof/>
          </w:rPr>
          <w:t>5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Odpovědnost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FD03899" w14:textId="09D68192" w:rsidR="00E31EF9" w:rsidRDefault="00E31EF9">
      <w:pPr>
        <w:pStyle w:val="Obsah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6" w:history="1">
        <w:r w:rsidRPr="00556856">
          <w:rPr>
            <w:rStyle w:val="Hypertextovprepojenie"/>
            <w:noProof/>
          </w:rPr>
          <w:t>6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Seznam souvisejících dokumentů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21836F3" w14:textId="774EF7E6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7" w:history="1">
        <w:r w:rsidRPr="00556856">
          <w:rPr>
            <w:rStyle w:val="Hypertextovprepojenie"/>
            <w:noProof/>
          </w:rPr>
          <w:t>Příloha A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Kniha závad a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600DB60" w14:textId="4C8B697F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8" w:history="1">
        <w:r w:rsidRPr="00556856">
          <w:rPr>
            <w:rStyle w:val="Hypertextovprepojenie"/>
            <w:noProof/>
          </w:rPr>
          <w:t>Příloha B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Formulář PkP ( povolení k práci 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9ECB636" w14:textId="321F4608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49" w:history="1">
        <w:r w:rsidRPr="00556856">
          <w:rPr>
            <w:rStyle w:val="Hypertextovprepojenie"/>
            <w:noProof/>
          </w:rPr>
          <w:t>Příloha C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Formulář pro ZPBO (Zvláštní požárně/bezpečnostní opatření)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9170245" w14:textId="241FD37E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50" w:history="1">
        <w:r w:rsidRPr="00556856">
          <w:rPr>
            <w:rStyle w:val="Hypertextovprepojenie"/>
            <w:noProof/>
          </w:rPr>
          <w:t>Příloha D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Seznam schválených dokumentací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2BEE3F1" w14:textId="69AF1B85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51" w:history="1">
        <w:r w:rsidRPr="00556856">
          <w:rPr>
            <w:rStyle w:val="Hypertextovprepojenie"/>
            <w:noProof/>
          </w:rPr>
          <w:t>Příloha E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Manuál pro vyplňování formulářů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03B43FB" w14:textId="20D8D4F8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52" w:history="1">
        <w:r w:rsidRPr="00556856">
          <w:rPr>
            <w:rStyle w:val="Hypertextovprepojenie"/>
            <w:noProof/>
          </w:rPr>
          <w:t>Příloha F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Minimální požadavky BOZP a PO na protokolem vyčleněných pracovištích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CABCD33" w14:textId="269DB7D0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53" w:history="1">
        <w:r w:rsidRPr="00556856">
          <w:rPr>
            <w:rStyle w:val="Hypertextovprepojenie"/>
            <w:noProof/>
          </w:rPr>
          <w:t>Příloha G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Grafické znázornění podmínek podle jednotlivých prostorů a druhu vykonávané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5EBEF47" w14:textId="057604F7" w:rsidR="00E31EF9" w:rsidRDefault="00E31EF9">
      <w:pPr>
        <w:pStyle w:val="Obsah1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70486854" w:history="1">
        <w:r w:rsidRPr="00556856">
          <w:rPr>
            <w:rStyle w:val="Hypertextovprepojenie"/>
            <w:noProof/>
          </w:rPr>
          <w:t>Příloha H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56856">
          <w:rPr>
            <w:rStyle w:val="Hypertextovprepojenie"/>
            <w:noProof/>
          </w:rPr>
          <w:t>Vzor Pověření příjemce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_Toc70486854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D217278" w14:textId="733CA5E4" w:rsidR="0054226D" w:rsidRDefault="00E233CD">
      <w:pPr>
        <w:sectPr w:rsidR="0054226D" w:rsidSect="007D5039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1701" w:right="1134" w:bottom="1361" w:left="1134" w:header="709" w:footer="709" w:gutter="0"/>
          <w:pgNumType w:start="0"/>
          <w:cols w:space="708"/>
          <w:titlePg/>
          <w:docGrid w:linePitch="360"/>
        </w:sectPr>
      </w:pPr>
      <w:r>
        <w:fldChar w:fldCharType="end"/>
      </w:r>
    </w:p>
    <w:p w14:paraId="373144AE" w14:textId="77777777" w:rsidR="00141304" w:rsidRDefault="00141304" w:rsidP="00C14725">
      <w:pPr>
        <w:pStyle w:val="Nadpis1"/>
        <w:spacing w:beforeLines="60" w:before="144" w:afterLines="60" w:after="144"/>
      </w:pPr>
      <w:bookmarkStart w:id="0" w:name="_Toc250016212"/>
      <w:bookmarkStart w:id="1" w:name="_Toc70486829"/>
      <w:r>
        <w:lastRenderedPageBreak/>
        <w:t>Účel</w:t>
      </w:r>
      <w:bookmarkEnd w:id="0"/>
      <w:bookmarkEnd w:id="1"/>
    </w:p>
    <w:p w14:paraId="78248E04" w14:textId="7B8DFB78" w:rsidR="00637D5E" w:rsidRPr="00023EB0" w:rsidRDefault="00637D5E" w:rsidP="007D5039">
      <w:pPr>
        <w:spacing w:beforeLines="60" w:before="144" w:afterLines="60" w:after="144"/>
        <w:jc w:val="both"/>
      </w:pPr>
      <w:r w:rsidRPr="00023EB0">
        <w:t xml:space="preserve">Směrnice stanovuje požadavky pro zajištění bezpečnosti a ochrany zdraví při práci a požární ochrany při provádění prací na zařízení, budovách a pozemcích </w:t>
      </w:r>
      <w:r w:rsidR="00FE06CF">
        <w:t>čerpacích stanic BENZINA</w:t>
      </w:r>
      <w:r w:rsidR="00AE232A" w:rsidRPr="00023EB0">
        <w:t xml:space="preserve">, </w:t>
      </w:r>
      <w:r w:rsidR="0041120D" w:rsidRPr="00023EB0">
        <w:t xml:space="preserve">s výjimkou prací prováděných zaměstnanci </w:t>
      </w:r>
      <w:r w:rsidR="00092C2D">
        <w:t>ORLEN Unipetrol</w:t>
      </w:r>
      <w:r w:rsidR="00FE06CF">
        <w:t xml:space="preserve"> </w:t>
      </w:r>
      <w:r w:rsidR="00011BAB">
        <w:t>RPA</w:t>
      </w:r>
      <w:r w:rsidR="00FE06CF">
        <w:t xml:space="preserve"> s.r.o.</w:t>
      </w:r>
      <w:r w:rsidR="00092C2D">
        <w:t>, ORLEN Unipetrol Slovakia s.r.o.</w:t>
      </w:r>
      <w:r w:rsidR="007A5165">
        <w:t xml:space="preserve"> a zaměstnanci </w:t>
      </w:r>
      <w:r w:rsidR="00E969B3">
        <w:t>Partnera</w:t>
      </w:r>
      <w:r w:rsidR="007A5165">
        <w:t xml:space="preserve"> čerpací stanice</w:t>
      </w:r>
      <w:r w:rsidR="00396D27" w:rsidRPr="00023EB0">
        <w:t>,</w:t>
      </w:r>
      <w:r w:rsidR="0041120D" w:rsidRPr="00023EB0">
        <w:t xml:space="preserve"> na které jsou práce prováděny</w:t>
      </w:r>
      <w:r w:rsidRPr="00023EB0">
        <w:t>.</w:t>
      </w:r>
    </w:p>
    <w:p w14:paraId="2D69223F" w14:textId="77777777" w:rsidR="00141304" w:rsidRPr="00D43FCC" w:rsidRDefault="00141304" w:rsidP="00D43FCC">
      <w:pPr>
        <w:pStyle w:val="Nadpis1"/>
      </w:pPr>
      <w:bookmarkStart w:id="2" w:name="_Toc250016213"/>
      <w:bookmarkStart w:id="3" w:name="_Toc70486830"/>
      <w:r w:rsidRPr="00D43FCC">
        <w:t>Rozsah platnosti</w:t>
      </w:r>
      <w:bookmarkEnd w:id="2"/>
      <w:bookmarkEnd w:id="3"/>
    </w:p>
    <w:p w14:paraId="355388DA" w14:textId="77777777" w:rsidR="00011BAB" w:rsidRDefault="00011BAB" w:rsidP="00011BAB">
      <w:r w:rsidRPr="0041169E">
        <w:rPr>
          <w:b/>
        </w:rPr>
        <w:t>Dokument je platný</w:t>
      </w:r>
      <w:r>
        <w:t xml:space="preserve"> pro následující označené společnosti / odštěpné závody:</w:t>
      </w:r>
    </w:p>
    <w:p w14:paraId="60B5F55A" w14:textId="22509C61" w:rsidR="00011BAB" w:rsidRDefault="00431F0E" w:rsidP="00011BAB">
      <w:r>
        <w:rPr>
          <w:bCs w:val="0"/>
        </w:rPr>
        <w:pict w14:anchorId="4FAFDA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18pt">
            <v:imagedata r:id="rId19" o:title=""/>
          </v:shape>
        </w:pict>
      </w:r>
      <w:r>
        <w:rPr>
          <w:bCs w:val="0"/>
        </w:rPr>
        <w:pict w14:anchorId="2851906B">
          <v:shape id="_x0000_i1026" type="#_x0000_t75" style="width:160.5pt;height:18pt">
            <v:imagedata r:id="rId20" o:title=""/>
          </v:shape>
        </w:pict>
      </w:r>
      <w:r>
        <w:rPr>
          <w:bCs w:val="0"/>
        </w:rPr>
        <w:pict w14:anchorId="5C1E28D1">
          <v:shape id="_x0000_i1027" type="#_x0000_t75" style="width:150pt;height:18pt">
            <v:imagedata r:id="rId21" o:title=""/>
          </v:shape>
        </w:pict>
      </w:r>
      <w:r>
        <w:rPr>
          <w:bCs w:val="0"/>
        </w:rPr>
        <w:pict w14:anchorId="0C10D2DD">
          <v:shape id="_x0000_i1028" type="#_x0000_t75" style="width:243pt;height:18pt">
            <v:imagedata r:id="rId22" o:title=""/>
          </v:shape>
        </w:pict>
      </w:r>
      <w:r>
        <w:rPr>
          <w:bCs w:val="0"/>
        </w:rPr>
        <w:pict w14:anchorId="7C762234">
          <v:shape id="_x0000_i1029" type="#_x0000_t75" style="width:177.75pt;height:18pt">
            <v:imagedata r:id="rId23" o:title=""/>
          </v:shape>
        </w:pict>
      </w:r>
      <w:r>
        <w:rPr>
          <w:bCs w:val="0"/>
        </w:rPr>
        <w:pict w14:anchorId="5B0B0E63">
          <v:shape id="_x0000_i1030" type="#_x0000_t75" style="width:108pt;height:18pt">
            <v:imagedata r:id="rId24" o:title=""/>
          </v:shape>
        </w:pict>
      </w:r>
      <w:r>
        <w:rPr>
          <w:bCs w:val="0"/>
        </w:rPr>
        <w:pict w14:anchorId="5233E293">
          <v:shape id="_x0000_i1031" type="#_x0000_t75" style="width:108pt;height:18pt">
            <v:imagedata r:id="rId25" o:title=""/>
          </v:shape>
        </w:pict>
      </w:r>
    </w:p>
    <w:p w14:paraId="3F925596" w14:textId="078E8C63" w:rsidR="00A201A6" w:rsidRPr="00C24AE8" w:rsidRDefault="00011BAB" w:rsidP="007D5039">
      <w:pPr>
        <w:jc w:val="both"/>
      </w:pPr>
      <w:r w:rsidRPr="0041169E">
        <w:rPr>
          <w:b/>
        </w:rPr>
        <w:t>Dále je dokument platný</w:t>
      </w:r>
      <w:r>
        <w:t xml:space="preserve"> </w:t>
      </w:r>
      <w:r w:rsidRPr="00C24AE8">
        <w:t xml:space="preserve">pro </w:t>
      </w:r>
      <w:r w:rsidRPr="00F6486E">
        <w:rPr>
          <w:bCs w:val="0"/>
        </w:rPr>
        <w:t>ORLEN Unipetrol Slovakia s.r.o.</w:t>
      </w:r>
      <w:r w:rsidRPr="00C24AE8">
        <w:t xml:space="preserve"> a jeho platnost je podmíněna schválením v této společnosti.</w:t>
      </w:r>
    </w:p>
    <w:p w14:paraId="6BEA37CD" w14:textId="02AC75DB" w:rsidR="00011BAB" w:rsidRDefault="00A201A6" w:rsidP="00A12712">
      <w:pPr>
        <w:rPr>
          <w:b/>
        </w:rPr>
      </w:pPr>
      <w:r w:rsidRPr="00C24AE8">
        <w:rPr>
          <w:b/>
        </w:rPr>
        <w:t xml:space="preserve">Toto vydání </w:t>
      </w:r>
      <w:r w:rsidR="00011BAB">
        <w:rPr>
          <w:b/>
        </w:rPr>
        <w:t>ruší:</w:t>
      </w:r>
    </w:p>
    <w:p w14:paraId="136BAB49" w14:textId="4334D34E" w:rsidR="00A201A6" w:rsidRPr="0059421B" w:rsidRDefault="00212F94" w:rsidP="00953507">
      <w:pPr>
        <w:pStyle w:val="Odsekzoznamu"/>
        <w:numPr>
          <w:ilvl w:val="0"/>
          <w:numId w:val="66"/>
        </w:numPr>
        <w:spacing w:before="120" w:after="0" w:line="240" w:lineRule="auto"/>
        <w:ind w:left="714" w:hanging="357"/>
        <w:rPr>
          <w:rFonts w:cs="Arial"/>
        </w:rPr>
      </w:pPr>
      <w:r w:rsidRPr="00953507">
        <w:rPr>
          <w:rFonts w:ascii="Arial" w:hAnsi="Arial" w:cs="Arial"/>
          <w:sz w:val="20"/>
        </w:rPr>
        <w:t>s</w:t>
      </w:r>
      <w:r w:rsidR="00A201A6" w:rsidRPr="00953507">
        <w:rPr>
          <w:rFonts w:ascii="Arial" w:hAnsi="Arial" w:cs="Arial"/>
          <w:sz w:val="20"/>
        </w:rPr>
        <w:t>měrnici 465 „</w:t>
      </w:r>
      <w:r w:rsidRPr="00953507">
        <w:rPr>
          <w:rFonts w:ascii="Arial" w:hAnsi="Arial" w:cs="Arial"/>
          <w:sz w:val="20"/>
        </w:rPr>
        <w:t>Povolování prací</w:t>
      </w:r>
      <w:r w:rsidR="00A201A6" w:rsidRPr="00953507">
        <w:rPr>
          <w:rFonts w:ascii="Arial" w:hAnsi="Arial" w:cs="Arial"/>
          <w:sz w:val="20"/>
        </w:rPr>
        <w:t xml:space="preserve">“, </w:t>
      </w:r>
      <w:r w:rsidR="006D3D6B" w:rsidRPr="00953507">
        <w:rPr>
          <w:rFonts w:ascii="Arial" w:hAnsi="Arial" w:cs="Arial"/>
          <w:sz w:val="20"/>
        </w:rPr>
        <w:t>2</w:t>
      </w:r>
      <w:r w:rsidR="00A201A6" w:rsidRPr="00953507">
        <w:rPr>
          <w:rFonts w:ascii="Arial" w:hAnsi="Arial" w:cs="Arial"/>
          <w:sz w:val="20"/>
        </w:rPr>
        <w:t xml:space="preserve">. vydání ze dne </w:t>
      </w:r>
      <w:r w:rsidRPr="00953507">
        <w:rPr>
          <w:rFonts w:ascii="Arial" w:hAnsi="Arial" w:cs="Arial"/>
          <w:sz w:val="20"/>
        </w:rPr>
        <w:t>1</w:t>
      </w:r>
      <w:r w:rsidR="00A201A6" w:rsidRPr="00953507">
        <w:rPr>
          <w:rFonts w:ascii="Arial" w:hAnsi="Arial" w:cs="Arial"/>
          <w:sz w:val="20"/>
        </w:rPr>
        <w:t>.</w:t>
      </w:r>
      <w:r w:rsidR="00011BAB" w:rsidRPr="00953507">
        <w:rPr>
          <w:rFonts w:ascii="Arial" w:hAnsi="Arial" w:cs="Arial"/>
          <w:sz w:val="20"/>
        </w:rPr>
        <w:t xml:space="preserve"> </w:t>
      </w:r>
      <w:r w:rsidR="006D3D6B" w:rsidRPr="00953507">
        <w:rPr>
          <w:rFonts w:ascii="Arial" w:hAnsi="Arial" w:cs="Arial"/>
          <w:sz w:val="20"/>
        </w:rPr>
        <w:t>1.</w:t>
      </w:r>
      <w:r w:rsidR="00011BAB" w:rsidRPr="00953507">
        <w:rPr>
          <w:rFonts w:ascii="Arial" w:hAnsi="Arial" w:cs="Arial"/>
          <w:sz w:val="20"/>
        </w:rPr>
        <w:t xml:space="preserve"> </w:t>
      </w:r>
      <w:r w:rsidR="006D3D6B" w:rsidRPr="00953507">
        <w:rPr>
          <w:rFonts w:ascii="Arial" w:hAnsi="Arial" w:cs="Arial"/>
          <w:sz w:val="20"/>
        </w:rPr>
        <w:t>2021</w:t>
      </w:r>
      <w:r w:rsidR="00011BAB">
        <w:rPr>
          <w:rFonts w:ascii="Arial" w:hAnsi="Arial" w:cs="Arial"/>
          <w:sz w:val="20"/>
        </w:rPr>
        <w:t>,</w:t>
      </w:r>
      <w:r w:rsidR="00011BAB" w:rsidRPr="00953507">
        <w:rPr>
          <w:rFonts w:ascii="Arial" w:hAnsi="Arial" w:cs="Arial"/>
          <w:sz w:val="20"/>
        </w:rPr>
        <w:t xml:space="preserve"> platné pro </w:t>
      </w:r>
      <w:r w:rsidR="00011BAB" w:rsidRPr="00011BAB">
        <w:rPr>
          <w:rFonts w:ascii="Arial" w:hAnsi="Arial" w:cs="Arial"/>
          <w:bCs/>
          <w:sz w:val="20"/>
        </w:rPr>
        <w:t xml:space="preserve">UNIPETROL </w:t>
      </w:r>
      <w:r w:rsidR="00011BAB">
        <w:rPr>
          <w:rFonts w:ascii="Arial" w:hAnsi="Arial" w:cs="Arial"/>
          <w:bCs/>
          <w:sz w:val="20"/>
        </w:rPr>
        <w:t>RPA,</w:t>
      </w:r>
      <w:r w:rsidR="00011BAB" w:rsidRPr="00011BAB">
        <w:rPr>
          <w:rFonts w:ascii="Arial" w:hAnsi="Arial" w:cs="Arial"/>
          <w:bCs/>
          <w:sz w:val="20"/>
        </w:rPr>
        <w:t xml:space="preserve"> s.r.o. - BENZINA, odštěpný závod</w:t>
      </w:r>
      <w:r w:rsidR="00011BAB">
        <w:rPr>
          <w:rFonts w:ascii="Arial" w:hAnsi="Arial" w:cs="Arial"/>
          <w:bCs/>
          <w:sz w:val="20"/>
        </w:rPr>
        <w:t>.</w:t>
      </w:r>
    </w:p>
    <w:p w14:paraId="2496D415" w14:textId="77777777" w:rsidR="00437AC7" w:rsidRDefault="00437AC7" w:rsidP="00953507">
      <w:r w:rsidRPr="00437AC7">
        <w:t xml:space="preserve">Dostupnost směrnice jiným osobám je zajištěna prostřednictvím Internetu: </w:t>
      </w:r>
      <w:hyperlink r:id="rId26" w:history="1">
        <w:r w:rsidRPr="0068551D">
          <w:rPr>
            <w:rStyle w:val="Hypertextovprepojenie"/>
          </w:rPr>
          <w:t>http://www.unipetrolrpa.cz/CS/sluzby-areal/chempark-zaluzi/Stranky/zavazne-normy-a-informace.aspx</w:t>
        </w:r>
      </w:hyperlink>
    </w:p>
    <w:p w14:paraId="4952E4D2" w14:textId="77777777" w:rsidR="00C94D7E" w:rsidRPr="00D43FCC" w:rsidRDefault="00C94D7E" w:rsidP="00C94D7E">
      <w:pPr>
        <w:pStyle w:val="Nadpis1"/>
      </w:pPr>
      <w:bookmarkStart w:id="4" w:name="_Toc70486831"/>
      <w:r>
        <w:t>Pojmy, definice a zkratky</w:t>
      </w:r>
      <w:bookmarkEnd w:id="4"/>
    </w:p>
    <w:p w14:paraId="0C21392A" w14:textId="77777777" w:rsidR="00CA3431" w:rsidRDefault="00CA3431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 xml:space="preserve">Informace od </w:t>
      </w:r>
      <w:r w:rsidR="00BB47BF">
        <w:t>Příjemc</w:t>
      </w:r>
      <w:r>
        <w:t>e</w:t>
      </w:r>
      <w:r>
        <w:tab/>
        <w:t>-</w:t>
      </w:r>
      <w:r w:rsidR="00212F94">
        <w:tab/>
      </w:r>
      <w:r>
        <w:t xml:space="preserve">Rizika, opatření a další informace od </w:t>
      </w:r>
      <w:r w:rsidR="00BB47BF">
        <w:t>Příjemc</w:t>
      </w:r>
      <w:r>
        <w:t>e.</w:t>
      </w:r>
    </w:p>
    <w:p w14:paraId="719AB0CF" w14:textId="77777777" w:rsidR="00E66B8E" w:rsidRDefault="00E66B8E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Koordinátor</w:t>
      </w:r>
      <w:r>
        <w:tab/>
        <w:t>-</w:t>
      </w:r>
      <w:r w:rsidR="00212F94">
        <w:tab/>
      </w:r>
      <w:r>
        <w:t>Osoba pověřená koordinací činností zaměstnanců dvou či více zaměstnavatelů současně na jedné ČS – blíže viz čl.</w:t>
      </w:r>
      <w:r w:rsidR="00C71478">
        <w:t xml:space="preserve"> </w:t>
      </w:r>
      <w:r>
        <w:t>4.</w:t>
      </w:r>
      <w:r w:rsidR="00531B3D">
        <w:t>1.9</w:t>
      </w:r>
    </w:p>
    <w:p w14:paraId="567DEA03" w14:textId="77777777" w:rsidR="008A388F" w:rsidRDefault="008A388F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Koordinátor stavby</w:t>
      </w:r>
      <w:r>
        <w:tab/>
        <w:t>-</w:t>
      </w:r>
      <w:r w:rsidR="00212F94">
        <w:tab/>
      </w:r>
      <w:r w:rsidRPr="005E4767">
        <w:rPr>
          <w:rFonts w:cs="Arial"/>
          <w:szCs w:val="20"/>
        </w:rPr>
        <w:t>Odborně způsobilá osoba s příslušným oprávněním, plnící legislativou stanovené požadavky.</w:t>
      </w:r>
    </w:p>
    <w:p w14:paraId="378755D3" w14:textId="77777777" w:rsidR="00CA3431" w:rsidRDefault="00CA3431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 w:rsidRPr="00517631">
        <w:t>Nejiskřivé prostředky</w:t>
      </w:r>
      <w:r w:rsidRPr="00517631">
        <w:tab/>
        <w:t>-</w:t>
      </w:r>
      <w:r w:rsidR="00212F94">
        <w:tab/>
      </w:r>
      <w:r w:rsidRPr="00517631">
        <w:t>Nejiskřivé nářadí, pomůcky</w:t>
      </w:r>
      <w:r>
        <w:t xml:space="preserve"> a přístroje, stroje a zařízení</w:t>
      </w:r>
      <w:r w:rsidRPr="00517631">
        <w:t xml:space="preserve"> vyrobené a</w:t>
      </w:r>
      <w:r w:rsidRPr="003D4AC9">
        <w:t xml:space="preserve"> schválen</w:t>
      </w:r>
      <w:r>
        <w:t>é</w:t>
      </w:r>
      <w:r w:rsidRPr="003D4AC9">
        <w:t xml:space="preserve"> pro použití </w:t>
      </w:r>
      <w:r>
        <w:t>do prostorů s nebezpečím výbuchu.</w:t>
      </w:r>
    </w:p>
    <w:p w14:paraId="5DF4463C" w14:textId="77777777" w:rsidR="00141304" w:rsidRDefault="005A792D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Písemné p</w:t>
      </w:r>
      <w:r w:rsidR="00BD1F45">
        <w:t>ovolení k</w:t>
      </w:r>
      <w:r w:rsidR="00666A28">
        <w:t> </w:t>
      </w:r>
      <w:r w:rsidR="00BD1F45">
        <w:t>práci</w:t>
      </w:r>
      <w:r w:rsidR="00666A28">
        <w:t xml:space="preserve"> (</w:t>
      </w:r>
      <w:proofErr w:type="spellStart"/>
      <w:r w:rsidR="00666A28">
        <w:t>PkP</w:t>
      </w:r>
      <w:proofErr w:type="spellEnd"/>
      <w:r w:rsidR="00666A28">
        <w:t>)</w:t>
      </w:r>
      <w:r w:rsidR="00BD1F45">
        <w:tab/>
        <w:t>-</w:t>
      </w:r>
      <w:r w:rsidR="00212F94">
        <w:tab/>
      </w:r>
      <w:r w:rsidR="00BD1F45">
        <w:t>Soubor technických a organizačních opatření</w:t>
      </w:r>
      <w:r w:rsidR="00CA10F8">
        <w:t xml:space="preserve"> stanovených prostřednictvím </w:t>
      </w:r>
      <w:r w:rsidR="00CB7841">
        <w:t>formuláře</w:t>
      </w:r>
      <w:r w:rsidR="00CA10F8">
        <w:t xml:space="preserve"> uvedeného v </w:t>
      </w:r>
      <w:r w:rsidR="00CA10F8" w:rsidRPr="00023EB0">
        <w:t xml:space="preserve">příloze </w:t>
      </w:r>
      <w:r w:rsidR="00D45418">
        <w:t>B</w:t>
      </w:r>
      <w:r w:rsidR="00C71478">
        <w:t>.</w:t>
      </w:r>
    </w:p>
    <w:p w14:paraId="7F3749AE" w14:textId="77777777" w:rsidR="00436644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  <w:rPr>
          <w:rFonts w:cs="Arial"/>
          <w:szCs w:val="20"/>
        </w:rPr>
      </w:pPr>
      <w:r>
        <w:t>Požární dohled</w:t>
      </w:r>
      <w:r>
        <w:tab/>
        <w:t>-</w:t>
      </w:r>
      <w:r w:rsidR="00212F94">
        <w:tab/>
      </w:r>
      <w:r w:rsidRPr="005E4767">
        <w:rPr>
          <w:rFonts w:cs="Arial"/>
          <w:szCs w:val="20"/>
        </w:rPr>
        <w:t xml:space="preserve">Osoba určená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>em/</w:t>
      </w:r>
      <w:r>
        <w:rPr>
          <w:rFonts w:cs="Arial"/>
          <w:szCs w:val="20"/>
        </w:rPr>
        <w:t>Příjemc</w:t>
      </w:r>
      <w:r w:rsidRPr="005E4767">
        <w:rPr>
          <w:rFonts w:cs="Arial"/>
          <w:szCs w:val="20"/>
        </w:rPr>
        <w:t>em k vykonávání trvalého požárního dohledu v průběhu práce s ohněm a požárního dohledu ve stanovených intervalech po skončení</w:t>
      </w:r>
      <w:r>
        <w:rPr>
          <w:rFonts w:cs="Arial"/>
          <w:szCs w:val="20"/>
        </w:rPr>
        <w:t xml:space="preserve"> prací s ohněm vyžadujících zvláštní požárně/bezpečnostní opatření</w:t>
      </w:r>
      <w:r w:rsidRPr="005E4767">
        <w:rPr>
          <w:rFonts w:cs="Arial"/>
          <w:szCs w:val="20"/>
        </w:rPr>
        <w:t>.</w:t>
      </w:r>
    </w:p>
    <w:p w14:paraId="071288E8" w14:textId="77777777" w:rsidR="00CB5088" w:rsidRPr="00CB5088" w:rsidRDefault="00CB5088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 w:rsidRPr="00CB5088">
        <w:t xml:space="preserve">Práce s ohněm </w:t>
      </w:r>
      <w:r>
        <w:tab/>
        <w:t>-</w:t>
      </w:r>
      <w:r w:rsidR="00212F94">
        <w:tab/>
      </w:r>
      <w:r>
        <w:t>Práce představující zvýšené riziko vzniku požáru z důvodu použití zdroje otevřeného ohně, jiskření, záření nebo vysoké teploty.</w:t>
      </w:r>
    </w:p>
    <w:p w14:paraId="6D1AE6F3" w14:textId="77777777" w:rsidR="00436644" w:rsidRPr="00517631" w:rsidRDefault="00CA7A3D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Pracoviště</w:t>
      </w:r>
      <w:r w:rsidR="00DE1C63">
        <w:t>/místo</w:t>
      </w:r>
      <w:r>
        <w:tab/>
        <w:t>-</w:t>
      </w:r>
      <w:r w:rsidR="00212F94">
        <w:tab/>
      </w:r>
      <w:r>
        <w:t>Místo</w:t>
      </w:r>
      <w:r w:rsidR="00690E32">
        <w:t>/</w:t>
      </w:r>
      <w:r>
        <w:t>zařízení</w:t>
      </w:r>
      <w:r w:rsidR="00C94D7E">
        <w:t xml:space="preserve"> na ČS</w:t>
      </w:r>
      <w:r w:rsidR="003A0DBB">
        <w:t>,</w:t>
      </w:r>
      <w:r>
        <w:t xml:space="preserve"> ve kterém nebo na kterém se bude práce</w:t>
      </w:r>
      <w:r w:rsidR="00436644" w:rsidRPr="00436644">
        <w:t xml:space="preserve"> </w:t>
      </w:r>
      <w:r w:rsidR="00436644">
        <w:t>provádět.</w:t>
      </w:r>
    </w:p>
    <w:p w14:paraId="3C1ADABC" w14:textId="77777777" w:rsidR="00436644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119"/>
          <w:tab w:val="left" w:pos="3240"/>
        </w:tabs>
        <w:spacing w:beforeLines="60" w:before="144" w:afterLines="60" w:after="144"/>
        <w:ind w:left="3240" w:hanging="3240"/>
        <w:jc w:val="both"/>
        <w:rPr>
          <w:rFonts w:cs="Arial"/>
          <w:szCs w:val="20"/>
        </w:rPr>
      </w:pPr>
      <w:r>
        <w:rPr>
          <w:rFonts w:cs="Arial"/>
          <w:szCs w:val="20"/>
        </w:rPr>
        <w:t>Předávající</w:t>
      </w:r>
      <w:r>
        <w:rPr>
          <w:rFonts w:cs="Arial"/>
          <w:szCs w:val="20"/>
        </w:rPr>
        <w:tab/>
        <w:t>-</w:t>
      </w:r>
      <w:r w:rsidR="00212F94">
        <w:rPr>
          <w:rFonts w:cs="Arial"/>
          <w:szCs w:val="20"/>
        </w:rPr>
        <w:tab/>
      </w:r>
      <w:r w:rsidR="00E969B3">
        <w:rPr>
          <w:rFonts w:cs="Arial"/>
          <w:szCs w:val="20"/>
        </w:rPr>
        <w:t xml:space="preserve">Partner </w:t>
      </w:r>
      <w:r>
        <w:rPr>
          <w:rFonts w:cs="Arial"/>
          <w:szCs w:val="20"/>
        </w:rPr>
        <w:t>ČS nebo zaměstnanec ČS</w:t>
      </w:r>
      <w:r w:rsidRPr="004F5871">
        <w:rPr>
          <w:rFonts w:cs="Arial"/>
          <w:szCs w:val="20"/>
        </w:rPr>
        <w:t>, delegovan</w:t>
      </w:r>
      <w:r>
        <w:rPr>
          <w:rFonts w:cs="Arial"/>
          <w:szCs w:val="20"/>
        </w:rPr>
        <w:t>ý</w:t>
      </w:r>
      <w:r w:rsidRPr="005E476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 xml:space="preserve">em k zajištění plnění povinností uvedených v čl. </w:t>
      </w:r>
      <w:r>
        <w:rPr>
          <w:rFonts w:cs="Arial"/>
          <w:szCs w:val="20"/>
        </w:rPr>
        <w:t>4.</w:t>
      </w:r>
      <w:r w:rsidR="00531B3D">
        <w:rPr>
          <w:rFonts w:cs="Arial"/>
          <w:szCs w:val="20"/>
        </w:rPr>
        <w:t>1.2.</w:t>
      </w:r>
      <w:r w:rsidR="00695A32">
        <w:rPr>
          <w:rFonts w:cs="Arial"/>
          <w:szCs w:val="20"/>
        </w:rPr>
        <w:t>2</w:t>
      </w:r>
    </w:p>
    <w:p w14:paraId="6D462BD8" w14:textId="46C63386" w:rsidR="00E162DA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119"/>
          <w:tab w:val="left" w:pos="3240"/>
        </w:tabs>
        <w:spacing w:beforeLines="60" w:before="144" w:afterLines="60" w:after="144"/>
        <w:ind w:left="3240" w:hanging="3240"/>
        <w:jc w:val="both"/>
      </w:pPr>
      <w:r>
        <w:t>Příjemce</w:t>
      </w:r>
      <w:r w:rsidRPr="00023EB0">
        <w:tab/>
        <w:t>-</w:t>
      </w:r>
      <w:r w:rsidR="00212F94">
        <w:tab/>
      </w:r>
      <w:r>
        <w:t>Osoba schopná komunikace v</w:t>
      </w:r>
      <w:r w:rsidR="007578EC">
        <w:t> </w:t>
      </w:r>
      <w:r>
        <w:t>českém</w:t>
      </w:r>
      <w:r w:rsidR="007578EC">
        <w:t xml:space="preserve"> nebo slovenském </w:t>
      </w:r>
      <w:r>
        <w:t xml:space="preserve">jazyku, určená Zhotovitelem ke stanovení, zajištění a realizaci podmínek pro bezpečné provedení práce a k zajištění vlastního bezpečného provedení prací. </w:t>
      </w:r>
    </w:p>
    <w:p w14:paraId="380CFD99" w14:textId="77777777" w:rsidR="00436644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119"/>
          <w:tab w:val="left" w:pos="3240"/>
        </w:tabs>
        <w:spacing w:beforeLines="60" w:before="144" w:afterLines="60" w:after="144"/>
        <w:ind w:left="3240" w:hanging="3240"/>
        <w:jc w:val="both"/>
      </w:pPr>
      <w:r>
        <w:rPr>
          <w:rFonts w:cs="Arial"/>
          <w:szCs w:val="20"/>
        </w:rPr>
        <w:t>Přizvaná osoba</w:t>
      </w:r>
      <w:r>
        <w:rPr>
          <w:rFonts w:cs="Arial"/>
          <w:szCs w:val="20"/>
        </w:rPr>
        <w:tab/>
        <w:t>-</w:t>
      </w:r>
      <w:r w:rsidR="00212F94">
        <w:rPr>
          <w:rFonts w:cs="Arial"/>
          <w:szCs w:val="20"/>
        </w:rPr>
        <w:tab/>
      </w:r>
      <w:r w:rsidRPr="005E4767">
        <w:rPr>
          <w:rFonts w:cs="Arial"/>
          <w:szCs w:val="20"/>
        </w:rPr>
        <w:t xml:space="preserve">Osoba přizvaná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>em</w:t>
      </w:r>
      <w:r>
        <w:rPr>
          <w:rFonts w:cs="Arial"/>
          <w:szCs w:val="20"/>
        </w:rPr>
        <w:t xml:space="preserve"> nebo Příjemcem</w:t>
      </w:r>
      <w:r w:rsidRPr="005E4767">
        <w:rPr>
          <w:rFonts w:cs="Arial"/>
          <w:szCs w:val="20"/>
        </w:rPr>
        <w:t xml:space="preserve"> k povolovacímu řízení pro posouzení a stanovení podmínek pro bezpečné provedení prací, které přesahují rámec působnosti</w:t>
      </w:r>
      <w:r>
        <w:rPr>
          <w:rFonts w:cs="Arial"/>
          <w:szCs w:val="20"/>
        </w:rPr>
        <w:t xml:space="preserve">, znalostí </w:t>
      </w:r>
      <w:r w:rsidRPr="005E4767">
        <w:rPr>
          <w:rFonts w:cs="Arial"/>
          <w:szCs w:val="20"/>
        </w:rPr>
        <w:t xml:space="preserve"> a odbornosti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nebo Příjemce</w:t>
      </w:r>
      <w:r w:rsidR="00C71478">
        <w:rPr>
          <w:rFonts w:cs="Arial"/>
          <w:szCs w:val="20"/>
        </w:rPr>
        <w:t>.</w:t>
      </w:r>
    </w:p>
    <w:p w14:paraId="6569A16F" w14:textId="1DB0907B" w:rsidR="00CA3431" w:rsidRDefault="00011BAB" w:rsidP="007D5039">
      <w:pPr>
        <w:pStyle w:val="Pojmy"/>
        <w:tabs>
          <w:tab w:val="clear" w:pos="2520"/>
          <w:tab w:val="clear" w:pos="2700"/>
          <w:tab w:val="left" w:pos="3060"/>
          <w:tab w:val="left" w:pos="3119"/>
          <w:tab w:val="left" w:pos="3240"/>
        </w:tabs>
        <w:spacing w:beforeLines="60" w:before="144" w:afterLines="60" w:after="144"/>
        <w:ind w:left="3240" w:hanging="3240"/>
        <w:jc w:val="both"/>
      </w:pPr>
      <w:r>
        <w:lastRenderedPageBreak/>
        <w:t>S</w:t>
      </w:r>
      <w:r w:rsidR="0062723C">
        <w:t>polečn</w:t>
      </w:r>
      <w:r w:rsidR="00CA3431">
        <w:t>ost</w:t>
      </w:r>
      <w:r w:rsidR="00CA3431">
        <w:tab/>
        <w:t>-</w:t>
      </w:r>
      <w:r w:rsidR="00CA3431">
        <w:tab/>
      </w:r>
      <w:r w:rsidR="00092C2D">
        <w:t>ORLEN Unipetrol</w:t>
      </w:r>
      <w:r w:rsidR="00CA3431">
        <w:t xml:space="preserve"> </w:t>
      </w:r>
      <w:r>
        <w:t>RPA</w:t>
      </w:r>
      <w:r w:rsidR="00CA3431">
        <w:t xml:space="preserve"> s.r.o.</w:t>
      </w:r>
      <w:r w:rsidR="0062723C">
        <w:t xml:space="preserve">; ORLEN Unipetrol Slovakia </w:t>
      </w:r>
      <w:proofErr w:type="spellStart"/>
      <w:r w:rsidR="0062723C">
        <w:t>s.r.o</w:t>
      </w:r>
      <w:proofErr w:type="spellEnd"/>
    </w:p>
    <w:p w14:paraId="20630AC6" w14:textId="77777777" w:rsidR="00436644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119"/>
          <w:tab w:val="left" w:pos="3240"/>
        </w:tabs>
        <w:spacing w:beforeLines="60" w:before="144" w:afterLines="60" w:after="144"/>
        <w:ind w:left="3240" w:hanging="3240"/>
        <w:jc w:val="both"/>
      </w:pPr>
      <w:r>
        <w:t>Trvalý dozor</w:t>
      </w:r>
      <w:r>
        <w:tab/>
        <w:t>-</w:t>
      </w:r>
      <w:r w:rsidR="00212F94">
        <w:tab/>
      </w:r>
      <w:r w:rsidRPr="005E4767">
        <w:rPr>
          <w:rFonts w:cs="Arial"/>
          <w:szCs w:val="20"/>
        </w:rPr>
        <w:t>Osoba určená účastníkem povolovacího řízení k vykonávání trvalého dozoru na práci.</w:t>
      </w:r>
    </w:p>
    <w:p w14:paraId="12A1138B" w14:textId="19A378E8" w:rsidR="00631199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Vystavovatel</w:t>
      </w:r>
      <w:r w:rsidRPr="00023EB0">
        <w:tab/>
        <w:t>-</w:t>
      </w:r>
      <w:r w:rsidR="00212F94">
        <w:tab/>
      </w:r>
      <w:r w:rsidRPr="00436644">
        <w:t xml:space="preserve">Vystavovatelem povolení k práci je Objednatel. Může jím být zaměstnanec OZ nebo </w:t>
      </w:r>
      <w:r w:rsidR="0062723C">
        <w:t>společn</w:t>
      </w:r>
      <w:r w:rsidRPr="00436644">
        <w:t xml:space="preserve">osti nebo </w:t>
      </w:r>
      <w:r w:rsidR="00E969B3">
        <w:t>Partner</w:t>
      </w:r>
      <w:r w:rsidRPr="00436644">
        <w:t xml:space="preserve"> ČS</w:t>
      </w:r>
      <w:r w:rsidR="00631199">
        <w:t>.</w:t>
      </w:r>
    </w:p>
    <w:p w14:paraId="48776528" w14:textId="77777777" w:rsidR="00CA3431" w:rsidRDefault="00CA3431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 xml:space="preserve">Zapsaná </w:t>
      </w:r>
      <w:r w:rsidRPr="00023EB0">
        <w:t>Práce (</w:t>
      </w:r>
      <w:r>
        <w:t>ZP</w:t>
      </w:r>
      <w:r w:rsidRPr="00023EB0">
        <w:t>)</w:t>
      </w:r>
      <w:r w:rsidRPr="00023EB0">
        <w:tab/>
        <w:t>-</w:t>
      </w:r>
      <w:r w:rsidR="00212F94">
        <w:tab/>
      </w:r>
      <w:r w:rsidRPr="00023EB0">
        <w:t xml:space="preserve">Práce, na které není nutné vystavovat povolení v rozsahu </w:t>
      </w:r>
      <w:proofErr w:type="spellStart"/>
      <w:r w:rsidRPr="00023EB0">
        <w:t>PkP</w:t>
      </w:r>
      <w:proofErr w:type="spellEnd"/>
      <w:r>
        <w:t xml:space="preserve"> uvedené</w:t>
      </w:r>
      <w:r w:rsidRPr="00023EB0">
        <w:t xml:space="preserve"> v příloze </w:t>
      </w:r>
      <w:r w:rsidR="00BB47BF">
        <w:t>B</w:t>
      </w:r>
      <w:r w:rsidR="00C71478">
        <w:t>.</w:t>
      </w:r>
    </w:p>
    <w:p w14:paraId="27708913" w14:textId="77777777" w:rsidR="00436644" w:rsidRPr="00E66B8E" w:rsidRDefault="00436644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 w:rsidRPr="00436644">
        <w:t xml:space="preserve">Zástupce </w:t>
      </w:r>
      <w:r w:rsidR="00531B3D">
        <w:t>přilehlé</w:t>
      </w:r>
      <w:r w:rsidR="00531B3D" w:rsidRPr="00436644">
        <w:t xml:space="preserve">ho </w:t>
      </w:r>
      <w:r w:rsidRPr="00436644">
        <w:t>objektu</w:t>
      </w:r>
      <w:r w:rsidRPr="00436644">
        <w:tab/>
        <w:t>-</w:t>
      </w:r>
      <w:r w:rsidR="00212F94">
        <w:tab/>
      </w:r>
      <w:r w:rsidRPr="00436644">
        <w:t xml:space="preserve">Osoba přizvaná Vystavovatelem k povolovacímu řízení pro posouzení a stanovení podmínek pro bezpečné provedení prací při nebezpečí ohrožení sousedních </w:t>
      </w:r>
      <w:r w:rsidRPr="00E66B8E">
        <w:t>objektů prováděnou prací nebo naopak.</w:t>
      </w:r>
    </w:p>
    <w:p w14:paraId="234753B4" w14:textId="2F6214EE" w:rsidR="00BB47BF" w:rsidRDefault="00BB47BF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Zhotovitel</w:t>
      </w:r>
      <w:r w:rsidR="003314CA">
        <w:t xml:space="preserve"> / Vyšší zhotovitel</w:t>
      </w:r>
      <w:r>
        <w:tab/>
        <w:t>-</w:t>
      </w:r>
      <w:r w:rsidR="00212F94">
        <w:tab/>
      </w:r>
      <w:r>
        <w:t>Obchodní partner</w:t>
      </w:r>
      <w:r w:rsidR="00E969B3">
        <w:t>(kontraktor)</w:t>
      </w:r>
      <w:r>
        <w:t xml:space="preserve"> </w:t>
      </w:r>
      <w:r w:rsidR="0062723C">
        <w:t>společn</w:t>
      </w:r>
      <w:r>
        <w:t xml:space="preserve">osti, OZ nebo </w:t>
      </w:r>
      <w:r w:rsidR="00E969B3">
        <w:t>Partnera</w:t>
      </w:r>
      <w:r>
        <w:t xml:space="preserve"> ČS, jehož zaměstnanci nebo dodavatelé, na základě smlouvy nebo objednávky provádí na ČS pracovní činnost</w:t>
      </w:r>
      <w:r w:rsidR="003314CA">
        <w:t>. Vyšším zhotovitelem je ten Zhotovitel, který provádí hlavní část dodávek při pracích na protokolem vyčleněných pracovištích.</w:t>
      </w:r>
    </w:p>
    <w:p w14:paraId="1015B915" w14:textId="1430DAA0" w:rsidR="00600AA0" w:rsidRDefault="00600AA0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Ad Blue</w:t>
      </w:r>
      <w:r>
        <w:tab/>
        <w:t xml:space="preserve">- kapalné aditivum (roztok močoviny) k omezení emisí vznětových motorů </w:t>
      </w:r>
    </w:p>
    <w:p w14:paraId="4A7C71CE" w14:textId="74482DE6" w:rsidR="00600AA0" w:rsidRDefault="00600AA0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BOZP</w:t>
      </w:r>
      <w:r>
        <w:tab/>
        <w:t>- Bezpečnost a ochrana zdraví při práci</w:t>
      </w:r>
    </w:p>
    <w:p w14:paraId="2893677E" w14:textId="4355B7E4" w:rsidR="00AF687B" w:rsidRDefault="00AF687B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CNG</w:t>
      </w:r>
      <w:r>
        <w:tab/>
        <w:t>- stlačený zemní plyn pro pohon motorových vozidel</w:t>
      </w:r>
    </w:p>
    <w:p w14:paraId="0262E3E8" w14:textId="3512AD69" w:rsidR="006F4514" w:rsidRDefault="006F4514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ČS</w:t>
      </w:r>
      <w:r>
        <w:tab/>
        <w:t>-</w:t>
      </w:r>
      <w:r w:rsidR="00212F94">
        <w:tab/>
      </w:r>
      <w:r>
        <w:t>čerpací stanice sítě BENZINA, včetně čerpacích stanic provozovaných pod jinými obchodními značkami</w:t>
      </w:r>
      <w:r w:rsidR="00C71478">
        <w:t>.</w:t>
      </w:r>
    </w:p>
    <w:p w14:paraId="26CDE1A5" w14:textId="77777777" w:rsidR="00F3130D" w:rsidRDefault="00F3130D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DOPV</w:t>
      </w:r>
      <w:r>
        <w:tab/>
        <w:t>-</w:t>
      </w:r>
      <w:r w:rsidR="00212F94">
        <w:tab/>
      </w:r>
      <w:r>
        <w:t>dokumentace na ochranu před výbuchem – viz Provozní předpis ČS kapitola 2.</w:t>
      </w:r>
      <w:r w:rsidR="000010AD">
        <w:t>2.11</w:t>
      </w:r>
    </w:p>
    <w:p w14:paraId="64AFC1ED" w14:textId="4E38732C" w:rsidR="00600AA0" w:rsidRDefault="00600AA0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LNG</w:t>
      </w:r>
      <w:r>
        <w:tab/>
        <w:t>- zkapalněný zemní plyn pro pohon motorových vozidel</w:t>
      </w:r>
    </w:p>
    <w:p w14:paraId="06E30452" w14:textId="015CEAFE" w:rsidR="00AF687B" w:rsidRDefault="00AF687B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LPG</w:t>
      </w:r>
      <w:r>
        <w:tab/>
        <w:t>-</w:t>
      </w:r>
      <w:r>
        <w:tab/>
        <w:t>zkapalněné uhlovodíkové plyny ( směs ) pro pohon motorových vozidel</w:t>
      </w:r>
    </w:p>
    <w:p w14:paraId="435650C8" w14:textId="3A230C27" w:rsidR="006B1A3F" w:rsidRDefault="00515207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OBPR</w:t>
      </w:r>
      <w:r w:rsidR="001B09E1">
        <w:tab/>
        <w:t>-</w:t>
      </w:r>
      <w:r w:rsidR="00212F94">
        <w:tab/>
      </w:r>
      <w:r w:rsidR="001B09E1">
        <w:t>Odbor bezpečnosti</w:t>
      </w:r>
      <w:r>
        <w:t xml:space="preserve"> a prevence rizik</w:t>
      </w:r>
      <w:r w:rsidR="001B09E1">
        <w:t>,</w:t>
      </w:r>
      <w:r w:rsidR="00C71478">
        <w:t xml:space="preserve"> </w:t>
      </w:r>
      <w:r w:rsidR="00092C2D">
        <w:t>ORLEN Unipetrol</w:t>
      </w:r>
      <w:r w:rsidR="006F4514">
        <w:t xml:space="preserve"> </w:t>
      </w:r>
      <w:r w:rsidR="00011BAB">
        <w:t>RPA</w:t>
      </w:r>
      <w:r w:rsidR="006F4514">
        <w:t xml:space="preserve"> s.r.o.</w:t>
      </w:r>
    </w:p>
    <w:p w14:paraId="6165F154" w14:textId="77777777" w:rsidR="00263433" w:rsidRDefault="00964427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OOPP</w:t>
      </w:r>
      <w:r>
        <w:tab/>
        <w:t>-</w:t>
      </w:r>
      <w:r w:rsidR="00212F94">
        <w:tab/>
      </w:r>
      <w:r>
        <w:t>Osobní ochranné pracovní prostředky.</w:t>
      </w:r>
    </w:p>
    <w:p w14:paraId="1EE81A34" w14:textId="6D95FCD9" w:rsidR="00CA3431" w:rsidRDefault="00CA3431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OZ</w:t>
      </w:r>
      <w:r>
        <w:tab/>
        <w:t>-</w:t>
      </w:r>
      <w:r w:rsidR="00212F94">
        <w:tab/>
      </w:r>
      <w:r w:rsidR="00092C2D">
        <w:t>ORLEN Unipetrol</w:t>
      </w:r>
      <w:r>
        <w:t xml:space="preserve"> RPA s.r.o. – BENZINA, odštěpný závod</w:t>
      </w:r>
    </w:p>
    <w:p w14:paraId="49420BF1" w14:textId="2E11F204" w:rsidR="00DA64E4" w:rsidRDefault="00DA64E4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OZO</w:t>
      </w:r>
      <w:r>
        <w:tab/>
        <w:t>-</w:t>
      </w:r>
      <w:r w:rsidR="00212F94">
        <w:tab/>
      </w:r>
      <w:r>
        <w:t>Special</w:t>
      </w:r>
      <w:r w:rsidR="006031D3">
        <w:t>is</w:t>
      </w:r>
      <w:r>
        <w:t xml:space="preserve">ta, </w:t>
      </w:r>
      <w:r w:rsidR="00515207">
        <w:t>OBPR</w:t>
      </w:r>
      <w:r>
        <w:t>;  odborně způsobilá osoba v prevenci rizik a v PO.</w:t>
      </w:r>
    </w:p>
    <w:p w14:paraId="05D0E83B" w14:textId="77777777" w:rsidR="00F3130D" w:rsidRDefault="00F3130D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proofErr w:type="spellStart"/>
      <w:r>
        <w:t>PkP</w:t>
      </w:r>
      <w:proofErr w:type="spellEnd"/>
      <w:r>
        <w:tab/>
        <w:t>-</w:t>
      </w:r>
      <w:r w:rsidR="00212F94">
        <w:tab/>
      </w:r>
      <w:r>
        <w:t>písemné povolení k práci</w:t>
      </w:r>
    </w:p>
    <w:p w14:paraId="278990F2" w14:textId="7144098B" w:rsidR="00600AA0" w:rsidRDefault="00600AA0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PO</w:t>
      </w:r>
      <w:r>
        <w:tab/>
        <w:t>- Požární ochrana</w:t>
      </w:r>
    </w:p>
    <w:p w14:paraId="5A2EFB5A" w14:textId="18E12300" w:rsidR="00292BCC" w:rsidRDefault="00292BCC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UBEZ</w:t>
      </w:r>
      <w:r>
        <w:tab/>
        <w:t>- Úsek bezpečnosti, organizační složka ORLEN Unipetrol RPA s.r.o.</w:t>
      </w:r>
    </w:p>
    <w:p w14:paraId="3A69E471" w14:textId="10C66E7E" w:rsidR="00C94D7E" w:rsidRDefault="00C94D7E" w:rsidP="007D5039">
      <w:pPr>
        <w:pStyle w:val="Pojmy"/>
        <w:tabs>
          <w:tab w:val="clear" w:pos="2520"/>
          <w:tab w:val="clear" w:pos="2700"/>
          <w:tab w:val="left" w:pos="3060"/>
          <w:tab w:val="left" w:pos="3240"/>
        </w:tabs>
        <w:spacing w:beforeLines="60" w:before="144" w:afterLines="60" w:after="144"/>
        <w:ind w:left="3240" w:hanging="3240"/>
        <w:jc w:val="both"/>
      </w:pPr>
      <w:r>
        <w:t>ZPBO</w:t>
      </w:r>
      <w:r>
        <w:tab/>
        <w:t>-</w:t>
      </w:r>
      <w:r w:rsidR="00212F94">
        <w:tab/>
      </w:r>
      <w:r>
        <w:t xml:space="preserve">Zvláštní </w:t>
      </w:r>
      <w:r w:rsidRPr="00733E6B">
        <w:rPr>
          <w:rFonts w:cs="Arial"/>
          <w:szCs w:val="20"/>
        </w:rPr>
        <w:t>požárně/bezpečnostní opatření</w:t>
      </w:r>
      <w:r>
        <w:rPr>
          <w:rFonts w:cs="Arial"/>
          <w:szCs w:val="20"/>
        </w:rPr>
        <w:t xml:space="preserve"> </w:t>
      </w:r>
      <w:r w:rsidRPr="00733E6B">
        <w:rPr>
          <w:rFonts w:cs="Arial"/>
          <w:szCs w:val="20"/>
        </w:rPr>
        <w:t>(</w:t>
      </w:r>
      <w:r>
        <w:rPr>
          <w:rFonts w:cs="Arial"/>
          <w:szCs w:val="20"/>
        </w:rPr>
        <w:t>s</w:t>
      </w:r>
      <w:r>
        <w:t xml:space="preserve">oubor technických a organizačních opatření stanovených prostřednictvím formuláře uvedeného v příloze </w:t>
      </w:r>
      <w:r w:rsidR="00D45418">
        <w:t>C</w:t>
      </w:r>
      <w:r w:rsidR="00C71478">
        <w:t>)</w:t>
      </w:r>
      <w:r>
        <w:t>.</w:t>
      </w:r>
    </w:p>
    <w:p w14:paraId="0B6DA80F" w14:textId="77777777" w:rsidR="00011BAB" w:rsidRDefault="00011BAB" w:rsidP="00011BAB">
      <w:pPr>
        <w:sectPr w:rsidR="00011BAB">
          <w:pgSz w:w="11906" w:h="16838" w:code="9"/>
          <w:pgMar w:top="1701" w:right="1134" w:bottom="1361" w:left="1134" w:header="709" w:footer="709" w:gutter="0"/>
          <w:cols w:space="708"/>
          <w:docGrid w:linePitch="360"/>
        </w:sectPr>
      </w:pPr>
    </w:p>
    <w:p w14:paraId="1D3A1A45" w14:textId="77777777" w:rsidR="00141304" w:rsidRDefault="005A792D" w:rsidP="00B40DB2">
      <w:pPr>
        <w:pStyle w:val="Nadpis1"/>
        <w:tabs>
          <w:tab w:val="clear" w:pos="0"/>
          <w:tab w:val="clear" w:pos="851"/>
        </w:tabs>
        <w:spacing w:beforeLines="60" w:before="144" w:afterLines="60" w:after="144"/>
      </w:pPr>
      <w:bookmarkStart w:id="5" w:name="_Toc70486832"/>
      <w:bookmarkStart w:id="6" w:name="_Toc70486833"/>
      <w:bookmarkStart w:id="7" w:name="_Toc70486834"/>
      <w:bookmarkEnd w:id="5"/>
      <w:bookmarkEnd w:id="6"/>
      <w:r>
        <w:lastRenderedPageBreak/>
        <w:t>Povolování prací</w:t>
      </w:r>
      <w:bookmarkEnd w:id="7"/>
    </w:p>
    <w:p w14:paraId="590E7AE4" w14:textId="77777777" w:rsidR="00E31218" w:rsidRDefault="00E31218" w:rsidP="00C427B6">
      <w:pPr>
        <w:pStyle w:val="Nadpis2"/>
      </w:pPr>
      <w:bookmarkStart w:id="8" w:name="_Toc250016218"/>
      <w:bookmarkStart w:id="9" w:name="_Toc70486835"/>
      <w:bookmarkStart w:id="10" w:name="_Toc250016216"/>
      <w:r>
        <w:t>Účastníci povolovacího řízení</w:t>
      </w:r>
      <w:bookmarkEnd w:id="8"/>
      <w:bookmarkEnd w:id="9"/>
    </w:p>
    <w:p w14:paraId="1B8D7504" w14:textId="77777777" w:rsidR="00E31218" w:rsidRDefault="00E31218" w:rsidP="007D5039">
      <w:pPr>
        <w:pStyle w:val="Nadpis3"/>
        <w:jc w:val="both"/>
      </w:pPr>
      <w:r>
        <w:t>Způsobilost účastníků povolovacího řízení a dalších osob</w:t>
      </w:r>
    </w:p>
    <w:p w14:paraId="1CCEDB6B" w14:textId="77777777" w:rsidR="00E31218" w:rsidRDefault="00E31218" w:rsidP="007D5039">
      <w:pPr>
        <w:spacing w:after="120"/>
        <w:jc w:val="both"/>
      </w:pPr>
      <w:r>
        <w:t>Způsobilost přizvané osoby je dána odborným vzděláním, praxí a vykonávanou profesí</w:t>
      </w:r>
      <w:r w:rsidR="00D14E07">
        <w:t>.</w:t>
      </w:r>
    </w:p>
    <w:p w14:paraId="46C45DDB" w14:textId="77777777" w:rsidR="00E31218" w:rsidRDefault="00E31218" w:rsidP="007D5039">
      <w:pPr>
        <w:spacing w:after="120"/>
        <w:jc w:val="both"/>
      </w:pPr>
      <w:r>
        <w:t>Způsobilost koordinátora na stavbě je dána Zákonem</w:t>
      </w:r>
      <w:r w:rsidR="0062723C">
        <w:rPr>
          <w:rStyle w:val="Odkaznapoznmkupodiarou"/>
        </w:rPr>
        <w:footnoteReference w:id="1"/>
      </w:r>
      <w:r w:rsidR="00D14E07">
        <w:t>.</w:t>
      </w:r>
    </w:p>
    <w:p w14:paraId="7651670F" w14:textId="77777777" w:rsidR="00E31218" w:rsidRDefault="00E31218" w:rsidP="007D5039">
      <w:pPr>
        <w:spacing w:after="120"/>
        <w:jc w:val="both"/>
      </w:pPr>
      <w:r w:rsidRPr="00631199">
        <w:t>Způsobilost k</w:t>
      </w:r>
      <w:r>
        <w:t xml:space="preserve"> ostatním </w:t>
      </w:r>
      <w:r w:rsidRPr="00631199">
        <w:t xml:space="preserve">činnostem </w:t>
      </w:r>
      <w:r>
        <w:t>podle této směrnice je zajišťována podle následující tabulky</w:t>
      </w:r>
      <w:r w:rsidR="00D14E07">
        <w:t>.</w:t>
      </w:r>
    </w:p>
    <w:tbl>
      <w:tblPr>
        <w:tblW w:w="9371" w:type="dxa"/>
        <w:tblInd w:w="55" w:type="dxa"/>
        <w:tblBorders>
          <w:top w:val="single" w:sz="4" w:space="0" w:color="009490"/>
          <w:left w:val="single" w:sz="4" w:space="0" w:color="009490"/>
          <w:bottom w:val="single" w:sz="4" w:space="0" w:color="009490"/>
          <w:right w:val="single" w:sz="4" w:space="0" w:color="009490"/>
          <w:insideH w:val="single" w:sz="4" w:space="0" w:color="009490"/>
          <w:insideV w:val="single" w:sz="4" w:space="0" w:color="00949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1276"/>
        <w:gridCol w:w="1463"/>
        <w:gridCol w:w="1693"/>
        <w:gridCol w:w="990"/>
        <w:gridCol w:w="1666"/>
      </w:tblGrid>
      <w:tr w:rsidR="00E31218" w14:paraId="09A3F777" w14:textId="77777777" w:rsidTr="00531B3D">
        <w:trPr>
          <w:trHeight w:val="690"/>
        </w:trPr>
        <w:tc>
          <w:tcPr>
            <w:tcW w:w="228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8080"/>
            <w:noWrap/>
            <w:vAlign w:val="center"/>
          </w:tcPr>
          <w:p w14:paraId="2BEB95C0" w14:textId="77777777" w:rsidR="00E31218" w:rsidRPr="00A12712" w:rsidRDefault="00E31218" w:rsidP="001E615B">
            <w:pPr>
              <w:spacing w:before="20" w:after="20"/>
              <w:jc w:val="center"/>
              <w:rPr>
                <w:rFonts w:cs="Arial"/>
                <w:color w:val="FFFFFF"/>
                <w:sz w:val="18"/>
                <w:szCs w:val="18"/>
              </w:rPr>
            </w:pPr>
            <w:r w:rsidRPr="00A12712">
              <w:rPr>
                <w:rFonts w:cs="Arial"/>
                <w:color w:val="FFFFFF"/>
                <w:sz w:val="18"/>
                <w:szCs w:val="18"/>
              </w:rPr>
              <w:t>Způsobilost</w:t>
            </w:r>
          </w:p>
        </w:tc>
        <w:tc>
          <w:tcPr>
            <w:tcW w:w="12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8080"/>
            <w:noWrap/>
            <w:vAlign w:val="center"/>
          </w:tcPr>
          <w:p w14:paraId="07DC9E6D" w14:textId="77777777" w:rsidR="00E31218" w:rsidRPr="00A12712" w:rsidRDefault="00E31218" w:rsidP="001E615B">
            <w:pPr>
              <w:spacing w:before="20" w:after="20"/>
              <w:jc w:val="center"/>
              <w:rPr>
                <w:rFonts w:cs="Arial"/>
                <w:color w:val="FFFFFF"/>
                <w:sz w:val="18"/>
                <w:szCs w:val="18"/>
              </w:rPr>
            </w:pPr>
            <w:r w:rsidRPr="00A12712">
              <w:rPr>
                <w:rFonts w:cs="Arial"/>
                <w:color w:val="FFFFFF"/>
                <w:sz w:val="18"/>
                <w:szCs w:val="18"/>
              </w:rPr>
              <w:t>Školitel</w:t>
            </w:r>
          </w:p>
        </w:tc>
        <w:tc>
          <w:tcPr>
            <w:tcW w:w="14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8080"/>
            <w:vAlign w:val="center"/>
          </w:tcPr>
          <w:p w14:paraId="35B66D80" w14:textId="77777777" w:rsidR="00E31218" w:rsidRPr="00A12712" w:rsidRDefault="00E31218" w:rsidP="001E615B">
            <w:pPr>
              <w:spacing w:before="20" w:after="20"/>
              <w:jc w:val="center"/>
              <w:rPr>
                <w:rFonts w:cs="Arial"/>
                <w:color w:val="FFFFFF"/>
                <w:sz w:val="18"/>
                <w:szCs w:val="18"/>
              </w:rPr>
            </w:pPr>
            <w:r w:rsidRPr="00A12712">
              <w:rPr>
                <w:rFonts w:cs="Arial"/>
                <w:color w:val="FFFFFF"/>
                <w:sz w:val="18"/>
                <w:szCs w:val="18"/>
              </w:rPr>
              <w:t>Náplň školení</w:t>
            </w:r>
          </w:p>
        </w:tc>
        <w:tc>
          <w:tcPr>
            <w:tcW w:w="169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8080"/>
            <w:vAlign w:val="center"/>
          </w:tcPr>
          <w:p w14:paraId="3293A04B" w14:textId="77777777" w:rsidR="00E31218" w:rsidRPr="00A12712" w:rsidRDefault="00E31218" w:rsidP="001E615B">
            <w:pPr>
              <w:spacing w:before="20" w:after="20"/>
              <w:jc w:val="center"/>
              <w:rPr>
                <w:rFonts w:cs="Arial"/>
                <w:color w:val="FFFFFF"/>
                <w:sz w:val="18"/>
                <w:szCs w:val="18"/>
              </w:rPr>
            </w:pPr>
            <w:r w:rsidRPr="00A12712">
              <w:rPr>
                <w:rFonts w:cs="Arial"/>
                <w:color w:val="FFFFFF"/>
                <w:sz w:val="18"/>
                <w:szCs w:val="18"/>
              </w:rPr>
              <w:t>Doba platnosti školení</w:t>
            </w:r>
          </w:p>
        </w:tc>
        <w:tc>
          <w:tcPr>
            <w:tcW w:w="9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8080"/>
            <w:vAlign w:val="center"/>
          </w:tcPr>
          <w:p w14:paraId="64791A16" w14:textId="77777777" w:rsidR="00E31218" w:rsidRPr="00A12712" w:rsidRDefault="00E31218" w:rsidP="001E615B">
            <w:pPr>
              <w:spacing w:before="20" w:after="20"/>
              <w:jc w:val="center"/>
              <w:rPr>
                <w:rFonts w:cs="Arial"/>
                <w:color w:val="FFFFFF"/>
                <w:sz w:val="18"/>
                <w:szCs w:val="18"/>
              </w:rPr>
            </w:pPr>
            <w:r w:rsidRPr="00A12712">
              <w:rPr>
                <w:rFonts w:cs="Arial"/>
                <w:color w:val="FFFFFF"/>
                <w:sz w:val="18"/>
                <w:szCs w:val="18"/>
              </w:rPr>
              <w:t>Způsob ověření znalostí</w:t>
            </w:r>
          </w:p>
        </w:tc>
        <w:tc>
          <w:tcPr>
            <w:tcW w:w="166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008080"/>
            <w:vAlign w:val="center"/>
          </w:tcPr>
          <w:p w14:paraId="14EAAAB7" w14:textId="77777777" w:rsidR="00E31218" w:rsidRPr="00A12712" w:rsidRDefault="00E31218" w:rsidP="001E615B">
            <w:pPr>
              <w:spacing w:before="20" w:after="20"/>
              <w:jc w:val="center"/>
              <w:rPr>
                <w:rFonts w:cs="Arial"/>
                <w:color w:val="FFFFFF"/>
                <w:sz w:val="18"/>
                <w:szCs w:val="18"/>
              </w:rPr>
            </w:pPr>
            <w:r w:rsidRPr="00A12712">
              <w:rPr>
                <w:rFonts w:cs="Arial"/>
                <w:color w:val="FFFFFF"/>
                <w:sz w:val="18"/>
                <w:szCs w:val="18"/>
              </w:rPr>
              <w:t>Doklad</w:t>
            </w:r>
          </w:p>
        </w:tc>
      </w:tr>
      <w:tr w:rsidR="00E31218" w14:paraId="71BC0236" w14:textId="77777777" w:rsidTr="00A12712">
        <w:trPr>
          <w:trHeight w:val="690"/>
        </w:trPr>
        <w:tc>
          <w:tcPr>
            <w:tcW w:w="2283" w:type="dxa"/>
            <w:tcBorders>
              <w:top w:val="single" w:sz="4" w:space="0" w:color="A6A6A6"/>
            </w:tcBorders>
            <w:shd w:val="clear" w:color="auto" w:fill="F2F2F2"/>
            <w:vAlign w:val="center"/>
          </w:tcPr>
          <w:p w14:paraId="7259408E" w14:textId="77777777" w:rsidR="00E31218" w:rsidRPr="00A12712" w:rsidRDefault="00E31218" w:rsidP="00A12712">
            <w:pPr>
              <w:pStyle w:val="Obsah1"/>
              <w:spacing w:before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Vystavovatel</w:t>
            </w:r>
          </w:p>
        </w:tc>
        <w:tc>
          <w:tcPr>
            <w:tcW w:w="1276" w:type="dxa"/>
            <w:tcBorders>
              <w:top w:val="single" w:sz="4" w:space="0" w:color="A6A6A6"/>
            </w:tcBorders>
            <w:shd w:val="clear" w:color="auto" w:fill="F2F2F2"/>
            <w:vAlign w:val="center"/>
          </w:tcPr>
          <w:p w14:paraId="650E8DDB" w14:textId="5F404F92" w:rsidR="00E31218" w:rsidRPr="00A12712" w:rsidRDefault="00E31218" w:rsidP="007E26AD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OZO (</w:t>
            </w:r>
            <w:r w:rsidR="00515207">
              <w:rPr>
                <w:rFonts w:cs="Arial"/>
                <w:sz w:val="18"/>
                <w:szCs w:val="18"/>
              </w:rPr>
              <w:t>OBPR</w:t>
            </w:r>
            <w:r w:rsidRPr="00A12712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63" w:type="dxa"/>
            <w:tcBorders>
              <w:top w:val="single" w:sz="4" w:space="0" w:color="A6A6A6"/>
            </w:tcBorders>
            <w:shd w:val="clear" w:color="auto" w:fill="F2F2F2"/>
            <w:vAlign w:val="center"/>
          </w:tcPr>
          <w:p w14:paraId="7A64F793" w14:textId="77777777" w:rsidR="00E31218" w:rsidRPr="00A12712" w:rsidRDefault="00E31218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Směrnice 465</w:t>
            </w:r>
            <w:r w:rsidR="00F3130D" w:rsidRPr="00A12712">
              <w:rPr>
                <w:rFonts w:cs="Arial"/>
                <w:sz w:val="18"/>
                <w:szCs w:val="18"/>
              </w:rPr>
              <w:t xml:space="preserve"> + DOPV</w:t>
            </w:r>
          </w:p>
        </w:tc>
        <w:tc>
          <w:tcPr>
            <w:tcW w:w="1693" w:type="dxa"/>
            <w:tcBorders>
              <w:top w:val="single" w:sz="4" w:space="0" w:color="A6A6A6"/>
            </w:tcBorders>
            <w:shd w:val="clear" w:color="auto" w:fill="F2F2F2"/>
            <w:vAlign w:val="center"/>
          </w:tcPr>
          <w:p w14:paraId="0E7ACD9F" w14:textId="77777777" w:rsidR="00E31218" w:rsidRPr="00A12712" w:rsidRDefault="00E31218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Trvale / do změny</w:t>
            </w:r>
          </w:p>
        </w:tc>
        <w:tc>
          <w:tcPr>
            <w:tcW w:w="990" w:type="dxa"/>
            <w:tcBorders>
              <w:top w:val="single" w:sz="4" w:space="0" w:color="A6A6A6"/>
            </w:tcBorders>
            <w:shd w:val="clear" w:color="auto" w:fill="F2F2F2"/>
            <w:vAlign w:val="center"/>
          </w:tcPr>
          <w:p w14:paraId="182F131F" w14:textId="77777777" w:rsidR="00E31218" w:rsidRPr="00A12712" w:rsidRDefault="00E31218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Test</w:t>
            </w:r>
          </w:p>
        </w:tc>
        <w:tc>
          <w:tcPr>
            <w:tcW w:w="1666" w:type="dxa"/>
            <w:tcBorders>
              <w:top w:val="single" w:sz="4" w:space="0" w:color="A6A6A6"/>
            </w:tcBorders>
            <w:shd w:val="clear" w:color="auto" w:fill="F2F2F2"/>
            <w:vAlign w:val="center"/>
          </w:tcPr>
          <w:p w14:paraId="60FD553D" w14:textId="77777777" w:rsidR="00E31218" w:rsidRPr="00A12712" w:rsidRDefault="00E31218" w:rsidP="00A12712">
            <w:pPr>
              <w:pStyle w:val="Obsah1"/>
              <w:spacing w:before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Seznam vystavovatelů</w:t>
            </w:r>
          </w:p>
        </w:tc>
      </w:tr>
      <w:tr w:rsidR="001037A9" w14:paraId="76F1F243" w14:textId="77777777" w:rsidTr="00A12712">
        <w:trPr>
          <w:trHeight w:val="690"/>
        </w:trPr>
        <w:tc>
          <w:tcPr>
            <w:tcW w:w="2283" w:type="dxa"/>
            <w:shd w:val="clear" w:color="auto" w:fill="F2F2F2"/>
            <w:vAlign w:val="center"/>
          </w:tcPr>
          <w:p w14:paraId="54ADD7E3" w14:textId="77777777" w:rsidR="001037A9" w:rsidRPr="00A12712" w:rsidRDefault="001037A9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Příjemce / Koordinátor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C400C7D" w14:textId="41398302" w:rsidR="001037A9" w:rsidRPr="00A12712" w:rsidRDefault="001037A9" w:rsidP="007E26AD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OZO (</w:t>
            </w:r>
            <w:r w:rsidR="00515207">
              <w:rPr>
                <w:rFonts w:cs="Arial"/>
                <w:sz w:val="18"/>
                <w:szCs w:val="18"/>
              </w:rPr>
              <w:t>OBPR</w:t>
            </w:r>
            <w:r w:rsidRPr="00A12712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63" w:type="dxa"/>
            <w:shd w:val="clear" w:color="auto" w:fill="F2F2F2"/>
            <w:vAlign w:val="center"/>
          </w:tcPr>
          <w:p w14:paraId="302BD5E7" w14:textId="77777777" w:rsidR="001037A9" w:rsidRPr="00A12712" w:rsidRDefault="001037A9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Směrnice 465 + DOPV</w:t>
            </w:r>
          </w:p>
        </w:tc>
        <w:tc>
          <w:tcPr>
            <w:tcW w:w="1693" w:type="dxa"/>
            <w:shd w:val="clear" w:color="auto" w:fill="F2F2F2"/>
            <w:vAlign w:val="center"/>
          </w:tcPr>
          <w:p w14:paraId="1CB9C521" w14:textId="77777777" w:rsidR="001037A9" w:rsidRPr="00A12712" w:rsidRDefault="001037A9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36 </w:t>
            </w:r>
            <w:proofErr w:type="spellStart"/>
            <w:r w:rsidRPr="00A12712">
              <w:rPr>
                <w:rFonts w:cs="Arial"/>
                <w:sz w:val="18"/>
                <w:szCs w:val="18"/>
              </w:rPr>
              <w:t>měs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>.</w:t>
            </w:r>
            <w:r w:rsidR="007E26AD">
              <w:rPr>
                <w:rFonts w:cs="Arial"/>
                <w:sz w:val="18"/>
                <w:szCs w:val="18"/>
              </w:rPr>
              <w:t xml:space="preserve"> </w:t>
            </w:r>
            <w:r w:rsidRPr="00A12712">
              <w:rPr>
                <w:rFonts w:cs="Arial"/>
                <w:sz w:val="18"/>
                <w:szCs w:val="18"/>
              </w:rPr>
              <w:t>/</w:t>
            </w:r>
            <w:r w:rsidR="007E26AD">
              <w:rPr>
                <w:rFonts w:cs="Arial"/>
                <w:sz w:val="18"/>
                <w:szCs w:val="18"/>
              </w:rPr>
              <w:t xml:space="preserve"> </w:t>
            </w:r>
            <w:r w:rsidRPr="00A12712">
              <w:rPr>
                <w:rFonts w:cs="Arial"/>
                <w:sz w:val="18"/>
                <w:szCs w:val="18"/>
              </w:rPr>
              <w:t>do změny</w:t>
            </w:r>
          </w:p>
        </w:tc>
        <w:tc>
          <w:tcPr>
            <w:tcW w:w="990" w:type="dxa"/>
            <w:shd w:val="clear" w:color="auto" w:fill="F2F2F2"/>
            <w:vAlign w:val="center"/>
          </w:tcPr>
          <w:p w14:paraId="1DCC3E09" w14:textId="77777777" w:rsidR="001037A9" w:rsidRPr="00A12712" w:rsidRDefault="001037A9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Test</w:t>
            </w:r>
          </w:p>
        </w:tc>
        <w:tc>
          <w:tcPr>
            <w:tcW w:w="1666" w:type="dxa"/>
            <w:shd w:val="clear" w:color="auto" w:fill="F2F2F2"/>
            <w:vAlign w:val="center"/>
          </w:tcPr>
          <w:p w14:paraId="3F7497D7" w14:textId="77777777" w:rsidR="001037A9" w:rsidRPr="00A12712" w:rsidRDefault="001037A9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Seznam příjemců; Pověření příjemce (průkaz)</w:t>
            </w:r>
          </w:p>
        </w:tc>
      </w:tr>
      <w:tr w:rsidR="00531B3D" w14:paraId="4717746B" w14:textId="77777777" w:rsidTr="00A12712">
        <w:trPr>
          <w:trHeight w:val="690"/>
        </w:trPr>
        <w:tc>
          <w:tcPr>
            <w:tcW w:w="2283" w:type="dxa"/>
            <w:shd w:val="clear" w:color="auto" w:fill="F2F2F2"/>
            <w:vAlign w:val="center"/>
          </w:tcPr>
          <w:p w14:paraId="3AE7E868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Zástupce přilehlého objektu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6DCB9F31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Předávající / Příjemce</w:t>
            </w:r>
          </w:p>
        </w:tc>
        <w:tc>
          <w:tcPr>
            <w:tcW w:w="1463" w:type="dxa"/>
            <w:shd w:val="clear" w:color="auto" w:fill="F2F2F2"/>
            <w:vAlign w:val="center"/>
          </w:tcPr>
          <w:p w14:paraId="37A70A98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Čl.</w:t>
            </w:r>
            <w:r w:rsidR="007E26AD">
              <w:rPr>
                <w:rFonts w:cs="Arial"/>
                <w:sz w:val="18"/>
                <w:szCs w:val="18"/>
              </w:rPr>
              <w:t xml:space="preserve"> </w:t>
            </w:r>
            <w:r w:rsidRPr="00A12712">
              <w:rPr>
                <w:rFonts w:cs="Arial"/>
                <w:sz w:val="18"/>
                <w:szCs w:val="18"/>
              </w:rPr>
              <w:t>4.1.6</w:t>
            </w:r>
          </w:p>
          <w:p w14:paraId="1E4E435C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 xml:space="preserve"> (ZPBO)</w:t>
            </w:r>
          </w:p>
        </w:tc>
        <w:tc>
          <w:tcPr>
            <w:tcW w:w="1693" w:type="dxa"/>
            <w:shd w:val="clear" w:color="auto" w:fill="F2F2F2"/>
            <w:vAlign w:val="center"/>
          </w:tcPr>
          <w:p w14:paraId="3B7AE79B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Po dobu platnosti </w:t>
            </w: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</w:p>
        </w:tc>
        <w:tc>
          <w:tcPr>
            <w:tcW w:w="990" w:type="dxa"/>
            <w:shd w:val="clear" w:color="auto" w:fill="F2F2F2"/>
            <w:vAlign w:val="center"/>
          </w:tcPr>
          <w:p w14:paraId="7513EE36" w14:textId="1930F699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Ústně </w:t>
            </w:r>
            <w:r w:rsidR="00111134">
              <w:rPr>
                <w:rFonts w:cs="Arial"/>
                <w:sz w:val="18"/>
                <w:szCs w:val="18"/>
              </w:rPr>
              <w:t xml:space="preserve">a </w:t>
            </w:r>
            <w:r w:rsidRPr="00A12712">
              <w:rPr>
                <w:rFonts w:cs="Arial"/>
                <w:sz w:val="18"/>
                <w:szCs w:val="18"/>
              </w:rPr>
              <w:t>průběžná kontrola</w:t>
            </w:r>
          </w:p>
        </w:tc>
        <w:tc>
          <w:tcPr>
            <w:tcW w:w="1666" w:type="dxa"/>
            <w:shd w:val="clear" w:color="auto" w:fill="F2F2F2"/>
            <w:vAlign w:val="center"/>
          </w:tcPr>
          <w:p w14:paraId="18A683B5" w14:textId="77777777" w:rsidR="00531B3D" w:rsidRPr="00A12712" w:rsidRDefault="00531B3D" w:rsidP="007E26AD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 xml:space="preserve"> (ZPBO)</w:t>
            </w:r>
          </w:p>
        </w:tc>
      </w:tr>
      <w:tr w:rsidR="00531B3D" w14:paraId="6A437008" w14:textId="77777777" w:rsidTr="00A12712">
        <w:trPr>
          <w:trHeight w:val="690"/>
        </w:trPr>
        <w:tc>
          <w:tcPr>
            <w:tcW w:w="2283" w:type="dxa"/>
            <w:shd w:val="clear" w:color="auto" w:fill="F2F2F2"/>
            <w:vAlign w:val="center"/>
          </w:tcPr>
          <w:p w14:paraId="69DA1984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Trvalý dozor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6F11C553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Předávající / Příjemce</w:t>
            </w:r>
          </w:p>
        </w:tc>
        <w:tc>
          <w:tcPr>
            <w:tcW w:w="1463" w:type="dxa"/>
            <w:shd w:val="clear" w:color="auto" w:fill="F2F2F2"/>
            <w:vAlign w:val="center"/>
          </w:tcPr>
          <w:p w14:paraId="17CC0255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Čl.</w:t>
            </w:r>
            <w:r w:rsidR="007E26AD">
              <w:rPr>
                <w:rFonts w:cs="Arial"/>
                <w:sz w:val="18"/>
                <w:szCs w:val="18"/>
              </w:rPr>
              <w:t xml:space="preserve"> </w:t>
            </w:r>
            <w:r w:rsidRPr="00A12712">
              <w:rPr>
                <w:rFonts w:cs="Arial"/>
                <w:sz w:val="18"/>
                <w:szCs w:val="18"/>
              </w:rPr>
              <w:t>4.1.7;</w:t>
            </w:r>
          </w:p>
          <w:p w14:paraId="0882300E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 xml:space="preserve"> (ZPBO)</w:t>
            </w:r>
          </w:p>
        </w:tc>
        <w:tc>
          <w:tcPr>
            <w:tcW w:w="1693" w:type="dxa"/>
            <w:shd w:val="clear" w:color="auto" w:fill="F2F2F2"/>
            <w:vAlign w:val="center"/>
          </w:tcPr>
          <w:p w14:paraId="057A2CE8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Po dobu platnosti </w:t>
            </w: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</w:p>
        </w:tc>
        <w:tc>
          <w:tcPr>
            <w:tcW w:w="990" w:type="dxa"/>
            <w:shd w:val="clear" w:color="auto" w:fill="F2F2F2"/>
            <w:vAlign w:val="center"/>
          </w:tcPr>
          <w:p w14:paraId="3B196D04" w14:textId="0E257B18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Ústně </w:t>
            </w:r>
            <w:r w:rsidR="00111134">
              <w:rPr>
                <w:rFonts w:cs="Arial"/>
                <w:sz w:val="18"/>
                <w:szCs w:val="18"/>
              </w:rPr>
              <w:t xml:space="preserve">a </w:t>
            </w:r>
            <w:r w:rsidRPr="00A12712">
              <w:rPr>
                <w:rFonts w:cs="Arial"/>
                <w:sz w:val="18"/>
                <w:szCs w:val="18"/>
              </w:rPr>
              <w:t>průběžná kontrola</w:t>
            </w:r>
          </w:p>
        </w:tc>
        <w:tc>
          <w:tcPr>
            <w:tcW w:w="1666" w:type="dxa"/>
            <w:shd w:val="clear" w:color="auto" w:fill="F2F2F2"/>
            <w:vAlign w:val="center"/>
          </w:tcPr>
          <w:p w14:paraId="5977F6C9" w14:textId="77777777" w:rsidR="00531B3D" w:rsidRPr="00A12712" w:rsidRDefault="00531B3D" w:rsidP="007E26AD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 xml:space="preserve"> (ZPBO)</w:t>
            </w:r>
          </w:p>
        </w:tc>
      </w:tr>
      <w:tr w:rsidR="00531B3D" w14:paraId="6417A0DA" w14:textId="77777777" w:rsidTr="00A12712">
        <w:trPr>
          <w:trHeight w:val="690"/>
        </w:trPr>
        <w:tc>
          <w:tcPr>
            <w:tcW w:w="2283" w:type="dxa"/>
            <w:shd w:val="clear" w:color="auto" w:fill="F2F2F2"/>
            <w:vAlign w:val="center"/>
          </w:tcPr>
          <w:p w14:paraId="382DDC24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Požární dohled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26326DF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Předávající / Příjemce</w:t>
            </w:r>
          </w:p>
        </w:tc>
        <w:tc>
          <w:tcPr>
            <w:tcW w:w="1463" w:type="dxa"/>
            <w:shd w:val="clear" w:color="auto" w:fill="F2F2F2"/>
            <w:vAlign w:val="center"/>
          </w:tcPr>
          <w:p w14:paraId="40D71207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>4.1.8;</w:t>
            </w:r>
          </w:p>
          <w:p w14:paraId="15DB684B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 xml:space="preserve"> (ZPBO)</w:t>
            </w:r>
          </w:p>
        </w:tc>
        <w:tc>
          <w:tcPr>
            <w:tcW w:w="1693" w:type="dxa"/>
            <w:shd w:val="clear" w:color="auto" w:fill="F2F2F2"/>
            <w:vAlign w:val="center"/>
          </w:tcPr>
          <w:p w14:paraId="1D3CBF3E" w14:textId="77777777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Po dobu platnosti </w:t>
            </w: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</w:p>
        </w:tc>
        <w:tc>
          <w:tcPr>
            <w:tcW w:w="990" w:type="dxa"/>
            <w:shd w:val="clear" w:color="auto" w:fill="F2F2F2"/>
            <w:vAlign w:val="center"/>
          </w:tcPr>
          <w:p w14:paraId="3E8177A1" w14:textId="22597BFA" w:rsidR="00531B3D" w:rsidRPr="00A12712" w:rsidRDefault="00531B3D" w:rsidP="00A12712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12712">
              <w:rPr>
                <w:rFonts w:cs="Arial"/>
                <w:sz w:val="18"/>
                <w:szCs w:val="18"/>
              </w:rPr>
              <w:t xml:space="preserve">Ústně </w:t>
            </w:r>
            <w:r w:rsidR="00111134">
              <w:rPr>
                <w:rFonts w:cs="Arial"/>
                <w:sz w:val="18"/>
                <w:szCs w:val="18"/>
              </w:rPr>
              <w:t xml:space="preserve">a </w:t>
            </w:r>
            <w:r w:rsidRPr="00A12712">
              <w:rPr>
                <w:rFonts w:cs="Arial"/>
                <w:sz w:val="18"/>
                <w:szCs w:val="18"/>
              </w:rPr>
              <w:t>průběžná kontrola</w:t>
            </w:r>
          </w:p>
        </w:tc>
        <w:tc>
          <w:tcPr>
            <w:tcW w:w="1666" w:type="dxa"/>
            <w:shd w:val="clear" w:color="auto" w:fill="F2F2F2"/>
            <w:vAlign w:val="center"/>
          </w:tcPr>
          <w:p w14:paraId="07D7279F" w14:textId="77777777" w:rsidR="00531B3D" w:rsidRPr="00A12712" w:rsidRDefault="00531B3D" w:rsidP="007E26AD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A12712">
              <w:rPr>
                <w:rFonts w:cs="Arial"/>
                <w:sz w:val="18"/>
                <w:szCs w:val="18"/>
              </w:rPr>
              <w:t>PkP</w:t>
            </w:r>
            <w:proofErr w:type="spellEnd"/>
            <w:r w:rsidRPr="00A12712">
              <w:rPr>
                <w:rFonts w:cs="Arial"/>
                <w:sz w:val="18"/>
                <w:szCs w:val="18"/>
              </w:rPr>
              <w:t xml:space="preserve"> (ZPBO)</w:t>
            </w:r>
          </w:p>
        </w:tc>
      </w:tr>
    </w:tbl>
    <w:p w14:paraId="7982BDD5" w14:textId="77777777" w:rsidR="00E31218" w:rsidRPr="005E4767" w:rsidRDefault="00E31218" w:rsidP="00C427B6">
      <w:pPr>
        <w:pStyle w:val="Nadpis3"/>
      </w:pPr>
      <w:r>
        <w:t>Vystavovatel</w:t>
      </w:r>
      <w:r w:rsidRPr="005E4767">
        <w:t xml:space="preserve"> </w:t>
      </w:r>
    </w:p>
    <w:p w14:paraId="27B99123" w14:textId="77777777" w:rsidR="00E31218" w:rsidRPr="005E4767" w:rsidRDefault="00E31218" w:rsidP="007D5039">
      <w:pPr>
        <w:pStyle w:val="Nadpis4"/>
        <w:jc w:val="both"/>
      </w:pPr>
      <w:r>
        <w:t>Vystavovatel</w:t>
      </w:r>
      <w:r w:rsidRPr="005E4767">
        <w:t xml:space="preserve"> je odpovědný za:</w:t>
      </w:r>
    </w:p>
    <w:p w14:paraId="1501AFD4" w14:textId="77777777" w:rsidR="00E31218" w:rsidRPr="008527DB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rozhodnutí o způsobu povolení práce (</w:t>
      </w:r>
      <w:r>
        <w:rPr>
          <w:rFonts w:cs="Arial"/>
          <w:szCs w:val="20"/>
        </w:rPr>
        <w:t>ZP</w:t>
      </w:r>
      <w:r w:rsidRPr="005E4767">
        <w:rPr>
          <w:rFonts w:cs="Arial"/>
          <w:szCs w:val="20"/>
        </w:rPr>
        <w:t xml:space="preserve">, </w:t>
      </w:r>
      <w:proofErr w:type="spellStart"/>
      <w:r w:rsidRPr="005E4767">
        <w:rPr>
          <w:rFonts w:cs="Arial"/>
          <w:szCs w:val="20"/>
        </w:rPr>
        <w:t>PkP</w:t>
      </w:r>
      <w:proofErr w:type="spellEnd"/>
      <w:r>
        <w:rPr>
          <w:rFonts w:cs="Arial"/>
          <w:szCs w:val="20"/>
        </w:rPr>
        <w:t xml:space="preserve">, </w:t>
      </w:r>
      <w:r w:rsidRPr="008527DB">
        <w:rPr>
          <w:rFonts w:cs="Arial"/>
          <w:szCs w:val="20"/>
        </w:rPr>
        <w:t xml:space="preserve">mimo systém </w:t>
      </w:r>
      <w:r>
        <w:rPr>
          <w:rFonts w:cs="Arial"/>
          <w:szCs w:val="20"/>
        </w:rPr>
        <w:t>ZP</w:t>
      </w:r>
      <w:r w:rsidRPr="008527DB">
        <w:rPr>
          <w:rFonts w:cs="Arial"/>
          <w:szCs w:val="20"/>
        </w:rPr>
        <w:t xml:space="preserve"> a </w:t>
      </w:r>
      <w:proofErr w:type="spellStart"/>
      <w:r w:rsidRPr="008527DB">
        <w:rPr>
          <w:rFonts w:cs="Arial"/>
          <w:szCs w:val="20"/>
        </w:rPr>
        <w:t>PkP</w:t>
      </w:r>
      <w:proofErr w:type="spellEnd"/>
      <w:r w:rsidRPr="008527DB">
        <w:rPr>
          <w:rFonts w:cs="Arial"/>
          <w:szCs w:val="20"/>
        </w:rPr>
        <w:t>),</w:t>
      </w:r>
    </w:p>
    <w:p w14:paraId="7CC30FC2" w14:textId="77777777" w:rsidR="00E31218" w:rsidRPr="00C570FA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C570FA">
        <w:rPr>
          <w:rFonts w:cs="Arial"/>
          <w:szCs w:val="20"/>
        </w:rPr>
        <w:t xml:space="preserve">zpracování </w:t>
      </w:r>
      <w:r>
        <w:rPr>
          <w:rFonts w:cs="Arial"/>
          <w:szCs w:val="20"/>
        </w:rPr>
        <w:t>dokumentace k ZP a</w:t>
      </w:r>
      <w:r w:rsidRPr="005E4767">
        <w:rPr>
          <w:rFonts w:cs="Arial"/>
          <w:szCs w:val="20"/>
        </w:rPr>
        <w:t xml:space="preserve"> </w:t>
      </w:r>
      <w:proofErr w:type="spellStart"/>
      <w:r w:rsidRPr="005E4767">
        <w:rPr>
          <w:rFonts w:cs="Arial"/>
          <w:szCs w:val="20"/>
        </w:rPr>
        <w:t>PkP</w:t>
      </w:r>
      <w:proofErr w:type="spellEnd"/>
      <w:r>
        <w:rPr>
          <w:rFonts w:cs="Arial"/>
          <w:szCs w:val="20"/>
        </w:rPr>
        <w:t xml:space="preserve"> v jemu stanoveném rozsahu</w:t>
      </w:r>
      <w:r w:rsidRPr="00C570FA">
        <w:rPr>
          <w:rFonts w:cs="Arial"/>
          <w:szCs w:val="20"/>
        </w:rPr>
        <w:t>,</w:t>
      </w:r>
    </w:p>
    <w:p w14:paraId="62408B12" w14:textId="77777777" w:rsidR="00E31218" w:rsidRPr="005E4767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nadefinování jednoznačného popisu práce</w:t>
      </w:r>
      <w:r>
        <w:rPr>
          <w:rFonts w:cs="Arial"/>
          <w:szCs w:val="20"/>
        </w:rPr>
        <w:t>, místa</w:t>
      </w:r>
      <w:r w:rsidRPr="005E4767">
        <w:rPr>
          <w:rFonts w:cs="Arial"/>
          <w:szCs w:val="20"/>
        </w:rPr>
        <w:t xml:space="preserve"> a zařízení, </w:t>
      </w:r>
    </w:p>
    <w:p w14:paraId="61242CA5" w14:textId="77777777" w:rsidR="00E31218" w:rsidRPr="00612364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612364">
        <w:rPr>
          <w:rFonts w:cs="Arial"/>
          <w:szCs w:val="20"/>
        </w:rPr>
        <w:t xml:space="preserve">akceptování postupu práce stanoveného </w:t>
      </w:r>
      <w:r>
        <w:rPr>
          <w:rFonts w:cs="Arial"/>
          <w:szCs w:val="20"/>
        </w:rPr>
        <w:t>Příjemc</w:t>
      </w:r>
      <w:r w:rsidRPr="00612364">
        <w:rPr>
          <w:rFonts w:cs="Arial"/>
          <w:szCs w:val="20"/>
        </w:rPr>
        <w:t xml:space="preserve">em a rizik vnášených </w:t>
      </w:r>
      <w:r>
        <w:rPr>
          <w:rFonts w:cs="Arial"/>
          <w:szCs w:val="20"/>
        </w:rPr>
        <w:t>Příjemc</w:t>
      </w:r>
      <w:r w:rsidRPr="00612364">
        <w:rPr>
          <w:rFonts w:cs="Arial"/>
          <w:szCs w:val="20"/>
        </w:rPr>
        <w:t>e</w:t>
      </w:r>
      <w:r>
        <w:rPr>
          <w:rFonts w:cs="Arial"/>
          <w:szCs w:val="20"/>
        </w:rPr>
        <w:t>m</w:t>
      </w:r>
      <w:r w:rsidRPr="00612364">
        <w:rPr>
          <w:rFonts w:cs="Arial"/>
          <w:szCs w:val="20"/>
        </w:rPr>
        <w:t xml:space="preserve"> při stanovení nutných příprav a podmínek pro bezpečné provedení práce ze strany </w:t>
      </w:r>
      <w:r>
        <w:rPr>
          <w:rFonts w:cs="Arial"/>
          <w:szCs w:val="20"/>
        </w:rPr>
        <w:t>ČS</w:t>
      </w:r>
      <w:r w:rsidRPr="00612364">
        <w:rPr>
          <w:rFonts w:cs="Arial"/>
          <w:szCs w:val="20"/>
        </w:rPr>
        <w:t>,</w:t>
      </w:r>
    </w:p>
    <w:p w14:paraId="43D1A07D" w14:textId="77777777" w:rsidR="00E31218" w:rsidRPr="005E4767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stanovení nutné přípravy pracoviště a podmínek, </w:t>
      </w:r>
    </w:p>
    <w:p w14:paraId="5C06C07D" w14:textId="77777777" w:rsidR="00E31218" w:rsidRPr="005E4767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zajištění účasti zaměstnanců ČS</w:t>
      </w:r>
      <w:r w:rsidRPr="005E4767">
        <w:rPr>
          <w:rFonts w:cs="Arial"/>
          <w:szCs w:val="20"/>
        </w:rPr>
        <w:t xml:space="preserve"> a jejich seznámení s</w:t>
      </w:r>
      <w:r>
        <w:rPr>
          <w:rFonts w:cs="Arial"/>
          <w:szCs w:val="20"/>
        </w:rPr>
        <w:t> </w:t>
      </w:r>
      <w:r w:rsidRPr="005E4767">
        <w:rPr>
          <w:rFonts w:cs="Arial"/>
          <w:szCs w:val="20"/>
        </w:rPr>
        <w:t>podmínkami</w:t>
      </w:r>
      <w:r>
        <w:rPr>
          <w:rFonts w:cs="Arial"/>
          <w:szCs w:val="20"/>
        </w:rPr>
        <w:t>,</w:t>
      </w:r>
    </w:p>
    <w:p w14:paraId="0A135687" w14:textId="77777777" w:rsidR="00E31218" w:rsidRPr="005E4767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kontrolu kompletnosti </w:t>
      </w:r>
      <w:r>
        <w:rPr>
          <w:rFonts w:cs="Arial"/>
          <w:szCs w:val="20"/>
        </w:rPr>
        <w:t xml:space="preserve">dokumentace ZP a </w:t>
      </w:r>
      <w:proofErr w:type="spellStart"/>
      <w:r>
        <w:rPr>
          <w:rFonts w:cs="Arial"/>
          <w:szCs w:val="20"/>
        </w:rPr>
        <w:t>PkP</w:t>
      </w:r>
      <w:proofErr w:type="spellEnd"/>
      <w:r w:rsidR="0073742D">
        <w:rPr>
          <w:rFonts w:cs="Arial"/>
          <w:szCs w:val="20"/>
        </w:rPr>
        <w:t>.</w:t>
      </w:r>
    </w:p>
    <w:p w14:paraId="22EB27BA" w14:textId="77777777" w:rsidR="00E31218" w:rsidRPr="005E4767" w:rsidRDefault="00E31218" w:rsidP="007D5039">
      <w:pPr>
        <w:pStyle w:val="Nadpis4"/>
        <w:jc w:val="both"/>
      </w:pPr>
      <w:r>
        <w:t>Vystavovatel</w:t>
      </w:r>
      <w:r w:rsidRPr="005E4767">
        <w:t xml:space="preserve"> je dále odpovědný za:</w:t>
      </w:r>
    </w:p>
    <w:p w14:paraId="325FC444" w14:textId="77777777" w:rsidR="00E31218" w:rsidRPr="005E4767" w:rsidRDefault="00E31218" w:rsidP="007D5039">
      <w:pPr>
        <w:numPr>
          <w:ilvl w:val="0"/>
          <w:numId w:val="10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realizaci přípravy pracoviště a podmínek prováděných </w:t>
      </w:r>
      <w:r>
        <w:rPr>
          <w:rFonts w:cs="Arial"/>
          <w:szCs w:val="20"/>
        </w:rPr>
        <w:t>ze strany ČS</w:t>
      </w:r>
      <w:r w:rsidRPr="005E4767">
        <w:rPr>
          <w:rFonts w:cs="Arial"/>
          <w:szCs w:val="20"/>
        </w:rPr>
        <w:t>,</w:t>
      </w:r>
    </w:p>
    <w:p w14:paraId="1EF9394D" w14:textId="77777777" w:rsidR="00E31218" w:rsidRPr="002E1D59" w:rsidRDefault="00E31218" w:rsidP="007D5039">
      <w:pPr>
        <w:numPr>
          <w:ilvl w:val="0"/>
          <w:numId w:val="10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2E1D59">
        <w:rPr>
          <w:rFonts w:cs="Arial"/>
          <w:szCs w:val="20"/>
        </w:rPr>
        <w:t>předání pracoviště,</w:t>
      </w:r>
    </w:p>
    <w:p w14:paraId="5A17F538" w14:textId="77777777" w:rsidR="00E31218" w:rsidRPr="005E4767" w:rsidRDefault="00E31218" w:rsidP="007D5039">
      <w:pPr>
        <w:numPr>
          <w:ilvl w:val="0"/>
          <w:numId w:val="10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zajištění neměnných podmínek ze strany </w:t>
      </w:r>
      <w:r>
        <w:rPr>
          <w:rFonts w:cs="Arial"/>
          <w:szCs w:val="20"/>
        </w:rPr>
        <w:t>ČS</w:t>
      </w:r>
      <w:r w:rsidRPr="005E4767">
        <w:rPr>
          <w:rFonts w:cs="Arial"/>
          <w:szCs w:val="20"/>
        </w:rPr>
        <w:t xml:space="preserve"> po dobu trvání práce,</w:t>
      </w:r>
    </w:p>
    <w:p w14:paraId="642752AA" w14:textId="77777777" w:rsidR="00E31218" w:rsidRPr="005E4767" w:rsidRDefault="00E31218" w:rsidP="007D5039">
      <w:pPr>
        <w:numPr>
          <w:ilvl w:val="0"/>
          <w:numId w:val="10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lastRenderedPageBreak/>
        <w:t>průběžn</w:t>
      </w:r>
      <w:r>
        <w:rPr>
          <w:rFonts w:cs="Arial"/>
          <w:szCs w:val="20"/>
        </w:rPr>
        <w:t>ou</w:t>
      </w:r>
      <w:r w:rsidRPr="005E4767">
        <w:rPr>
          <w:rFonts w:cs="Arial"/>
          <w:szCs w:val="20"/>
        </w:rPr>
        <w:t xml:space="preserve"> kont</w:t>
      </w:r>
      <w:r>
        <w:rPr>
          <w:rFonts w:cs="Arial"/>
          <w:szCs w:val="20"/>
        </w:rPr>
        <w:t>rolu plnění stanovených podmínek,</w:t>
      </w:r>
    </w:p>
    <w:p w14:paraId="539B1E1F" w14:textId="77777777" w:rsidR="00E31218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přerušení nebo ukončení činností v případě změny podmínek ze strany </w:t>
      </w:r>
      <w:r>
        <w:rPr>
          <w:rFonts w:cs="Arial"/>
          <w:szCs w:val="20"/>
        </w:rPr>
        <w:t>ČS</w:t>
      </w:r>
      <w:r w:rsidRPr="005E4767">
        <w:rPr>
          <w:rFonts w:cs="Arial"/>
          <w:szCs w:val="20"/>
        </w:rPr>
        <w:t xml:space="preserve"> nebo neplnění st</w:t>
      </w:r>
      <w:r>
        <w:rPr>
          <w:rFonts w:cs="Arial"/>
          <w:szCs w:val="20"/>
        </w:rPr>
        <w:t>anovených podmínek.</w:t>
      </w:r>
    </w:p>
    <w:p w14:paraId="00DF675A" w14:textId="77777777" w:rsidR="00E31218" w:rsidRDefault="00E31218" w:rsidP="007D5039">
      <w:pPr>
        <w:numPr>
          <w:ilvl w:val="0"/>
          <w:numId w:val="3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ukončení ZP a </w:t>
      </w:r>
      <w:proofErr w:type="spellStart"/>
      <w:r>
        <w:rPr>
          <w:rFonts w:cs="Arial"/>
          <w:szCs w:val="20"/>
        </w:rPr>
        <w:t>PkP</w:t>
      </w:r>
      <w:proofErr w:type="spellEnd"/>
      <w:r>
        <w:rPr>
          <w:rFonts w:cs="Arial"/>
          <w:szCs w:val="20"/>
        </w:rPr>
        <w:t>.</w:t>
      </w:r>
    </w:p>
    <w:p w14:paraId="158CA43E" w14:textId="5663C967" w:rsidR="00E31218" w:rsidRDefault="00E31218" w:rsidP="007D5039">
      <w:pPr>
        <w:pStyle w:val="Nadpis4"/>
        <w:jc w:val="both"/>
      </w:pPr>
      <w:r>
        <w:t>Vystavovatel</w:t>
      </w:r>
      <w:r w:rsidRPr="005E4767">
        <w:t xml:space="preserve"> je oprávněn odpovědnosti uvedené v čl. </w:t>
      </w:r>
      <w:r>
        <w:t>4</w:t>
      </w:r>
      <w:r w:rsidRPr="005E4767">
        <w:t>.</w:t>
      </w:r>
      <w:r w:rsidR="00531B3D">
        <w:t>1.2.</w:t>
      </w:r>
      <w:r w:rsidR="009B4CCF">
        <w:t xml:space="preserve">2 </w:t>
      </w:r>
      <w:r w:rsidR="00531B3D">
        <w:t xml:space="preserve"> d</w:t>
      </w:r>
      <w:r w:rsidRPr="005E4767">
        <w:t xml:space="preserve">elegovat na osobu Předávajícího. </w:t>
      </w:r>
      <w:r>
        <w:t xml:space="preserve">Je-li v takovém případě Vystavovatelem zaměstnanec </w:t>
      </w:r>
      <w:r w:rsidR="0062723C">
        <w:t>společn</w:t>
      </w:r>
      <w:r>
        <w:t xml:space="preserve">osti nebo OZ, zajistí v předstihu předání připraveného </w:t>
      </w:r>
      <w:proofErr w:type="spellStart"/>
      <w:r>
        <w:t>P</w:t>
      </w:r>
      <w:r w:rsidR="0073742D">
        <w:t>k</w:t>
      </w:r>
      <w:r>
        <w:t>P</w:t>
      </w:r>
      <w:proofErr w:type="spellEnd"/>
      <w:r>
        <w:t xml:space="preserve"> Předávajícímu v elektronické nebo papírové formě.</w:t>
      </w:r>
    </w:p>
    <w:p w14:paraId="4F858902" w14:textId="77777777" w:rsidR="00E31218" w:rsidRPr="005E4767" w:rsidRDefault="00E31218" w:rsidP="007D5039">
      <w:pPr>
        <w:pStyle w:val="Nadpis3"/>
        <w:jc w:val="both"/>
      </w:pPr>
      <w:r w:rsidRPr="0073742D">
        <w:t>Předávající</w:t>
      </w:r>
      <w:r w:rsidRPr="005E4767">
        <w:t xml:space="preserve"> </w:t>
      </w:r>
    </w:p>
    <w:p w14:paraId="50E5F6B1" w14:textId="77777777" w:rsidR="00E31218" w:rsidRDefault="00E31218" w:rsidP="007D5039">
      <w:pPr>
        <w:jc w:val="both"/>
      </w:pPr>
      <w:r>
        <w:t xml:space="preserve">Předávající musí být Vystavovatelem seznámen s konkrétními podmínkami ZP nebo </w:t>
      </w:r>
      <w:proofErr w:type="spellStart"/>
      <w:r>
        <w:t>PkP</w:t>
      </w:r>
      <w:proofErr w:type="spellEnd"/>
      <w:r>
        <w:t>.</w:t>
      </w:r>
    </w:p>
    <w:p w14:paraId="2135C81C" w14:textId="77777777" w:rsidR="00E31218" w:rsidRPr="004F5871" w:rsidRDefault="00E31218" w:rsidP="007D5039">
      <w:pPr>
        <w:pStyle w:val="Nadpis3"/>
        <w:jc w:val="both"/>
      </w:pPr>
      <w:r>
        <w:t>Příjemc</w:t>
      </w:r>
      <w:r w:rsidRPr="005E4767">
        <w:t xml:space="preserve">e </w:t>
      </w:r>
    </w:p>
    <w:p w14:paraId="274A8B8D" w14:textId="77777777" w:rsidR="00E31218" w:rsidRDefault="00E31218" w:rsidP="007D5039">
      <w:pPr>
        <w:spacing w:before="0"/>
        <w:jc w:val="both"/>
        <w:rPr>
          <w:rFonts w:cs="Arial"/>
          <w:szCs w:val="20"/>
        </w:rPr>
      </w:pPr>
      <w:r>
        <w:rPr>
          <w:rFonts w:cs="Arial"/>
          <w:szCs w:val="20"/>
        </w:rPr>
        <w:t>Příjemc</w:t>
      </w:r>
      <w:r w:rsidRPr="004F5871">
        <w:rPr>
          <w:rFonts w:cs="Arial"/>
          <w:szCs w:val="20"/>
        </w:rPr>
        <w:t xml:space="preserve">e je povinen předložit </w:t>
      </w:r>
      <w:r>
        <w:rPr>
          <w:rFonts w:cs="Arial"/>
          <w:szCs w:val="20"/>
        </w:rPr>
        <w:t>Pověření</w:t>
      </w:r>
      <w:r w:rsidRPr="004F587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Vystavovatel</w:t>
      </w:r>
      <w:r w:rsidRPr="004F5871">
        <w:rPr>
          <w:rFonts w:cs="Arial"/>
          <w:szCs w:val="20"/>
        </w:rPr>
        <w:t xml:space="preserve">i </w:t>
      </w:r>
      <w:r>
        <w:rPr>
          <w:rFonts w:cs="Arial"/>
          <w:szCs w:val="20"/>
        </w:rPr>
        <w:t xml:space="preserve">nebo Předávajícímu </w:t>
      </w:r>
      <w:r w:rsidRPr="004F5871">
        <w:rPr>
          <w:rFonts w:cs="Arial"/>
          <w:szCs w:val="20"/>
        </w:rPr>
        <w:t>vždy pře</w:t>
      </w:r>
      <w:r>
        <w:rPr>
          <w:rFonts w:cs="Arial"/>
          <w:szCs w:val="20"/>
        </w:rPr>
        <w:t>d započetím povolovacího řízení nebo kdykoli v průběhu provádění prací na ČS osobám oprávněným ke kontrole dle čl.</w:t>
      </w:r>
      <w:r w:rsidR="0073742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4.10.1</w:t>
      </w:r>
      <w:r w:rsidR="0073742D">
        <w:rPr>
          <w:rFonts w:cs="Arial"/>
          <w:szCs w:val="20"/>
        </w:rPr>
        <w:t>.</w:t>
      </w:r>
    </w:p>
    <w:p w14:paraId="71D86E98" w14:textId="77777777" w:rsidR="00E31218" w:rsidRDefault="00E31218" w:rsidP="007D5039">
      <w:pPr>
        <w:spacing w:before="0"/>
        <w:jc w:val="both"/>
        <w:rPr>
          <w:rFonts w:cs="Arial"/>
          <w:szCs w:val="20"/>
        </w:rPr>
      </w:pPr>
      <w:r>
        <w:rPr>
          <w:rFonts w:cs="Arial"/>
          <w:szCs w:val="20"/>
        </w:rPr>
        <w:t>Příjemce je po dobu provádění prací trvale přítomen na ČS.</w:t>
      </w:r>
    </w:p>
    <w:p w14:paraId="1717BD46" w14:textId="77777777" w:rsidR="00E31218" w:rsidRPr="005E4767" w:rsidRDefault="00E31218" w:rsidP="007D5039">
      <w:pPr>
        <w:pStyle w:val="Nadpis4"/>
        <w:jc w:val="both"/>
      </w:pPr>
      <w:r>
        <w:t>Příjemc</w:t>
      </w:r>
      <w:r w:rsidRPr="005E4767">
        <w:t>e je odpovědný za:</w:t>
      </w:r>
    </w:p>
    <w:p w14:paraId="04C4EA3E" w14:textId="77777777" w:rsidR="00E31218" w:rsidRPr="005E4767" w:rsidRDefault="00E31218" w:rsidP="007D5039">
      <w:pPr>
        <w:numPr>
          <w:ilvl w:val="0"/>
          <w:numId w:val="4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stanovení postupu práce a předání informace o vnášených rizicích,</w:t>
      </w:r>
    </w:p>
    <w:p w14:paraId="115B0EC3" w14:textId="77777777" w:rsidR="00E31218" w:rsidRPr="005E4767" w:rsidRDefault="00E31218" w:rsidP="007D5039">
      <w:pPr>
        <w:numPr>
          <w:ilvl w:val="0"/>
          <w:numId w:val="4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stanovení podmínek pro bezpečné provedení práce ze strany </w:t>
      </w:r>
      <w:r>
        <w:rPr>
          <w:rFonts w:cs="Arial"/>
          <w:szCs w:val="20"/>
        </w:rPr>
        <w:t>zhotovitele</w:t>
      </w:r>
      <w:r w:rsidRPr="005E4767">
        <w:rPr>
          <w:rFonts w:cs="Arial"/>
          <w:szCs w:val="20"/>
        </w:rPr>
        <w:t>,</w:t>
      </w:r>
    </w:p>
    <w:p w14:paraId="6D521831" w14:textId="77777777" w:rsidR="00E31218" w:rsidRPr="005E4767" w:rsidRDefault="00E31218" w:rsidP="007D5039">
      <w:pPr>
        <w:numPr>
          <w:ilvl w:val="0"/>
          <w:numId w:val="4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informování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nebo Předávajícího</w:t>
      </w:r>
      <w:r w:rsidRPr="005E4767">
        <w:rPr>
          <w:rFonts w:cs="Arial"/>
          <w:szCs w:val="20"/>
        </w:rPr>
        <w:t xml:space="preserve"> o neslučitelnosti </w:t>
      </w:r>
      <w:r>
        <w:rPr>
          <w:rFonts w:cs="Arial"/>
          <w:szCs w:val="20"/>
        </w:rPr>
        <w:t>Příjemcem</w:t>
      </w:r>
      <w:r w:rsidRPr="005E4767">
        <w:rPr>
          <w:rFonts w:cs="Arial"/>
          <w:szCs w:val="20"/>
        </w:rPr>
        <w:t xml:space="preserve"> stanovených opatření s opatřeními požadovanými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>em,</w:t>
      </w:r>
    </w:p>
    <w:p w14:paraId="01770957" w14:textId="77777777" w:rsidR="00E31218" w:rsidRDefault="00E31218" w:rsidP="007D5039">
      <w:pPr>
        <w:numPr>
          <w:ilvl w:val="0"/>
          <w:numId w:val="4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17631">
        <w:rPr>
          <w:rFonts w:cs="Arial"/>
          <w:szCs w:val="20"/>
        </w:rPr>
        <w:t xml:space="preserve">zajištění personálního obsazení ze strany </w:t>
      </w:r>
      <w:r>
        <w:rPr>
          <w:rFonts w:cs="Arial"/>
          <w:szCs w:val="20"/>
        </w:rPr>
        <w:t>zhotovitele</w:t>
      </w:r>
      <w:r w:rsidRPr="00517631">
        <w:rPr>
          <w:rFonts w:cs="Arial"/>
          <w:szCs w:val="20"/>
        </w:rPr>
        <w:t xml:space="preserve"> a </w:t>
      </w:r>
      <w:r w:rsidRPr="004F5871">
        <w:rPr>
          <w:rFonts w:cs="Arial"/>
          <w:szCs w:val="20"/>
        </w:rPr>
        <w:t>jeho prokazatelné</w:t>
      </w:r>
      <w:r>
        <w:rPr>
          <w:rFonts w:cs="Arial"/>
          <w:szCs w:val="20"/>
        </w:rPr>
        <w:t xml:space="preserve"> </w:t>
      </w:r>
      <w:r w:rsidRPr="00517631">
        <w:rPr>
          <w:rFonts w:cs="Arial"/>
          <w:szCs w:val="20"/>
        </w:rPr>
        <w:t>s</w:t>
      </w:r>
      <w:r>
        <w:rPr>
          <w:rFonts w:cs="Arial"/>
          <w:szCs w:val="20"/>
        </w:rPr>
        <w:t>eznámení s podmínkami,</w:t>
      </w:r>
    </w:p>
    <w:p w14:paraId="4EADF3B2" w14:textId="77777777" w:rsidR="00E31218" w:rsidRDefault="00E31218" w:rsidP="007D5039">
      <w:pPr>
        <w:numPr>
          <w:ilvl w:val="0"/>
          <w:numId w:val="4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přerušení </w:t>
      </w:r>
      <w:proofErr w:type="spellStart"/>
      <w:r>
        <w:rPr>
          <w:rFonts w:cs="Arial"/>
          <w:szCs w:val="20"/>
        </w:rPr>
        <w:t>PkP</w:t>
      </w:r>
      <w:proofErr w:type="spellEnd"/>
      <w:r>
        <w:rPr>
          <w:rFonts w:cs="Arial"/>
          <w:szCs w:val="20"/>
        </w:rPr>
        <w:t>,</w:t>
      </w:r>
    </w:p>
    <w:p w14:paraId="026ACA23" w14:textId="77777777" w:rsidR="00E31218" w:rsidRDefault="00E31218" w:rsidP="007D5039">
      <w:pPr>
        <w:numPr>
          <w:ilvl w:val="0"/>
          <w:numId w:val="4"/>
        </w:numPr>
        <w:tabs>
          <w:tab w:val="clear" w:pos="72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ukončení ZP a </w:t>
      </w:r>
      <w:proofErr w:type="spellStart"/>
      <w:r>
        <w:rPr>
          <w:rFonts w:cs="Arial"/>
          <w:szCs w:val="20"/>
        </w:rPr>
        <w:t>PkP</w:t>
      </w:r>
      <w:proofErr w:type="spellEnd"/>
      <w:r>
        <w:rPr>
          <w:rFonts w:cs="Arial"/>
          <w:szCs w:val="20"/>
        </w:rPr>
        <w:t>.</w:t>
      </w:r>
    </w:p>
    <w:p w14:paraId="55D950D1" w14:textId="77777777" w:rsidR="00E31218" w:rsidRPr="005E4767" w:rsidRDefault="00E31218" w:rsidP="007D5039">
      <w:pPr>
        <w:pStyle w:val="Nadpis4"/>
        <w:jc w:val="both"/>
      </w:pPr>
      <w:r>
        <w:t>Příjemc</w:t>
      </w:r>
      <w:r w:rsidRPr="005E4767">
        <w:t>e je dále odpovědný za:</w:t>
      </w:r>
    </w:p>
    <w:p w14:paraId="0CFE534C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dodržování legislativních a normativních požadavků a smluvně závazných předpisů,</w:t>
      </w:r>
    </w:p>
    <w:p w14:paraId="13CE4E46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stav a používání nasazených prostředků v souladu s podmínkami stanovenými výrobcem a s legislativními a normativními požadavky,</w:t>
      </w:r>
    </w:p>
    <w:p w14:paraId="6C9D87BA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kvalitu a vykonání stanoveného rozsahu práce</w:t>
      </w:r>
      <w:r>
        <w:rPr>
          <w:rFonts w:cs="Arial"/>
          <w:szCs w:val="20"/>
        </w:rPr>
        <w:t>,</w:t>
      </w:r>
      <w:r w:rsidRPr="005E4767">
        <w:rPr>
          <w:rFonts w:cs="Arial"/>
          <w:szCs w:val="20"/>
        </w:rPr>
        <w:t xml:space="preserve"> </w:t>
      </w:r>
    </w:p>
    <w:p w14:paraId="726CE287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provádění prací pouze odborně a zdravotně způsobilými osobami,</w:t>
      </w:r>
    </w:p>
    <w:p w14:paraId="563B4DE7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realizaci jemu stanovených opatření a podmínek</w:t>
      </w:r>
      <w:r>
        <w:rPr>
          <w:rFonts w:cs="Arial"/>
          <w:szCs w:val="20"/>
        </w:rPr>
        <w:t>,</w:t>
      </w:r>
    </w:p>
    <w:p w14:paraId="3C28704F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zajištění opatření vyplývajících z jím prováděných, řízených a koordinovaných činností</w:t>
      </w:r>
      <w:r>
        <w:rPr>
          <w:rFonts w:cs="Arial"/>
          <w:szCs w:val="20"/>
        </w:rPr>
        <w:t>,</w:t>
      </w:r>
      <w:r w:rsidRPr="005E4767">
        <w:rPr>
          <w:rFonts w:cs="Arial"/>
          <w:szCs w:val="20"/>
        </w:rPr>
        <w:t xml:space="preserve"> </w:t>
      </w:r>
    </w:p>
    <w:p w14:paraId="766954EC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seznámení </w:t>
      </w:r>
      <w:r>
        <w:rPr>
          <w:rFonts w:cs="Arial"/>
          <w:szCs w:val="20"/>
        </w:rPr>
        <w:t>všech pracovníků vykonávajících činnost</w:t>
      </w:r>
      <w:r w:rsidRPr="005E4767">
        <w:rPr>
          <w:rFonts w:cs="Arial"/>
          <w:szCs w:val="20"/>
        </w:rPr>
        <w:t xml:space="preserve"> se stanovenými opatřeními a podmínkami, riziky možného ohrožení, místem </w:t>
      </w:r>
      <w:r>
        <w:rPr>
          <w:rFonts w:cs="Arial"/>
          <w:szCs w:val="20"/>
        </w:rPr>
        <w:t xml:space="preserve">a způsobem </w:t>
      </w:r>
      <w:r w:rsidRPr="005E4767">
        <w:rPr>
          <w:rFonts w:cs="Arial"/>
          <w:szCs w:val="20"/>
        </w:rPr>
        <w:t>provádění prací</w:t>
      </w:r>
      <w:r>
        <w:rPr>
          <w:rFonts w:cs="Arial"/>
          <w:szCs w:val="20"/>
        </w:rPr>
        <w:t>,</w:t>
      </w:r>
    </w:p>
    <w:p w14:paraId="41EBD3DA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 w:line="240" w:lineRule="exact"/>
        <w:ind w:left="1134" w:hanging="425"/>
        <w:jc w:val="both"/>
        <w:rPr>
          <w:rFonts w:cs="Arial"/>
          <w:szCs w:val="20"/>
        </w:rPr>
      </w:pPr>
      <w:r w:rsidRPr="00612364">
        <w:rPr>
          <w:rFonts w:cs="Arial"/>
          <w:szCs w:val="20"/>
        </w:rPr>
        <w:t>seznámení všech pracovníků vykonávajících činnost v</w:t>
      </w:r>
      <w:r w:rsidRPr="005E4767">
        <w:rPr>
          <w:rFonts w:cs="Arial"/>
          <w:szCs w:val="20"/>
        </w:rPr>
        <w:t xml:space="preserve"> prostorech s nebezpečím výbuchu s výstražnými signály, které budou použity k varování před ohrožením výbuchem, </w:t>
      </w:r>
    </w:p>
    <w:p w14:paraId="0F2B1E40" w14:textId="77777777" w:rsidR="00E31218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zajištění neměnných podmínek ze strany </w:t>
      </w:r>
      <w:r>
        <w:rPr>
          <w:rFonts w:cs="Arial"/>
          <w:szCs w:val="20"/>
        </w:rPr>
        <w:t>Příjemc</w:t>
      </w:r>
      <w:r w:rsidRPr="005E4767">
        <w:rPr>
          <w:rFonts w:cs="Arial"/>
          <w:szCs w:val="20"/>
        </w:rPr>
        <w:t>e po dobu trvání činností,</w:t>
      </w:r>
    </w:p>
    <w:p w14:paraId="04343EBE" w14:textId="77777777" w:rsidR="002A1406" w:rsidRPr="002A1406" w:rsidRDefault="002A1406" w:rsidP="007D5039">
      <w:pPr>
        <w:numPr>
          <w:ilvl w:val="0"/>
          <w:numId w:val="11"/>
        </w:numPr>
        <w:jc w:val="both"/>
        <w:rPr>
          <w:rFonts w:cs="Arial"/>
          <w:szCs w:val="20"/>
        </w:rPr>
      </w:pPr>
      <w:r w:rsidRPr="002A1406">
        <w:rPr>
          <w:rFonts w:cs="Arial"/>
          <w:szCs w:val="20"/>
        </w:rPr>
        <w:t xml:space="preserve">kontrolu </w:t>
      </w:r>
      <w:r w:rsidR="00DF1EB4">
        <w:rPr>
          <w:rFonts w:cs="Arial"/>
          <w:szCs w:val="20"/>
        </w:rPr>
        <w:t>s</w:t>
      </w:r>
      <w:r w:rsidRPr="002A1406">
        <w:rPr>
          <w:rFonts w:cs="Arial"/>
          <w:szCs w:val="20"/>
        </w:rPr>
        <w:t>plnění podmínek stanovených v povolení před započetím práce</w:t>
      </w:r>
      <w:r w:rsidR="00473A74">
        <w:rPr>
          <w:rFonts w:cs="Arial"/>
          <w:szCs w:val="20"/>
        </w:rPr>
        <w:t>,</w:t>
      </w:r>
    </w:p>
    <w:p w14:paraId="6357A90E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průběžnou kontrolu </w:t>
      </w:r>
      <w:r w:rsidRPr="005E4767">
        <w:rPr>
          <w:rFonts w:cs="Arial"/>
          <w:szCs w:val="20"/>
        </w:rPr>
        <w:t>plnění stanovených podmínek,</w:t>
      </w:r>
    </w:p>
    <w:p w14:paraId="34FD7A78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zajištění trvalého řízení průběhu prací,</w:t>
      </w:r>
    </w:p>
    <w:p w14:paraId="7B501526" w14:textId="77777777" w:rsidR="00E31218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fyzické převzetí pracoviště,</w:t>
      </w:r>
    </w:p>
    <w:p w14:paraId="4A483E8D" w14:textId="77777777" w:rsidR="00E31218" w:rsidRPr="005E4767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přerušení nebo ukončení činností v případě změny stanovených podmínek nebo jejich neplnění, ohlášení této skutečnosti </w:t>
      </w:r>
      <w:r>
        <w:rPr>
          <w:rFonts w:cs="Arial"/>
          <w:szCs w:val="20"/>
        </w:rPr>
        <w:t>Vystavovatel</w:t>
      </w:r>
      <w:r w:rsidRPr="005E4767">
        <w:rPr>
          <w:rFonts w:cs="Arial"/>
          <w:szCs w:val="20"/>
        </w:rPr>
        <w:t>i,</w:t>
      </w:r>
    </w:p>
    <w:p w14:paraId="509488DB" w14:textId="77777777" w:rsidR="00E31218" w:rsidRDefault="00E31218" w:rsidP="007D5039">
      <w:pPr>
        <w:numPr>
          <w:ilvl w:val="0"/>
          <w:numId w:val="11"/>
        </w:numPr>
        <w:tabs>
          <w:tab w:val="clear" w:pos="1080"/>
          <w:tab w:val="left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fyzické zpětné předání pracoviště v bezpečném a uklizeném stavu.</w:t>
      </w:r>
    </w:p>
    <w:p w14:paraId="6D530708" w14:textId="77777777" w:rsidR="00E31218" w:rsidRPr="005E4767" w:rsidRDefault="00E31218" w:rsidP="007D5039">
      <w:pPr>
        <w:pStyle w:val="Nadpis3"/>
        <w:jc w:val="both"/>
      </w:pPr>
      <w:r w:rsidRPr="005E4767">
        <w:lastRenderedPageBreak/>
        <w:t xml:space="preserve">Přizvaná osoba </w:t>
      </w:r>
    </w:p>
    <w:p w14:paraId="2541B711" w14:textId="77777777" w:rsidR="00E31218" w:rsidRDefault="00E31218" w:rsidP="007D5039">
      <w:pPr>
        <w:jc w:val="both"/>
      </w:pPr>
      <w:r>
        <w:t xml:space="preserve">Přizvanou osobou může být např. technik údržby, </w:t>
      </w:r>
      <w:r w:rsidR="00DE73EC">
        <w:t xml:space="preserve">projektový specialista </w:t>
      </w:r>
      <w:r>
        <w:t xml:space="preserve">investic, </w:t>
      </w:r>
      <w:r w:rsidR="002A1406">
        <w:t xml:space="preserve"> OZO</w:t>
      </w:r>
      <w:r w:rsidR="00DF1EB4">
        <w:t xml:space="preserve">, </w:t>
      </w:r>
      <w:r w:rsidR="00DE73EC" w:rsidRPr="00DE73EC">
        <w:t>Vedoucí sekce majetkoprávních vztahů MO</w:t>
      </w:r>
      <w:r w:rsidR="00DE73EC">
        <w:t xml:space="preserve"> </w:t>
      </w:r>
      <w:r>
        <w:t>apod.</w:t>
      </w:r>
    </w:p>
    <w:p w14:paraId="6518D613" w14:textId="77777777" w:rsidR="00E31218" w:rsidRPr="005E4767" w:rsidRDefault="00E31218" w:rsidP="007D5039">
      <w:pPr>
        <w:pStyle w:val="Nadpis4"/>
        <w:jc w:val="both"/>
      </w:pPr>
      <w:r w:rsidRPr="00473A74">
        <w:t>Přizvaná</w:t>
      </w:r>
      <w:r w:rsidRPr="005E4767">
        <w:t xml:space="preserve"> osoba je v rozsahu její odborné způsobilosti odpovědná za:</w:t>
      </w:r>
    </w:p>
    <w:p w14:paraId="04D97B03" w14:textId="77777777" w:rsidR="00E31218" w:rsidRPr="005E4767" w:rsidRDefault="00E31218" w:rsidP="007D5039">
      <w:pPr>
        <w:numPr>
          <w:ilvl w:val="0"/>
          <w:numId w:val="5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posouzení stanovených podmínek,</w:t>
      </w:r>
    </w:p>
    <w:p w14:paraId="2650C8FB" w14:textId="77777777" w:rsidR="00E31218" w:rsidRDefault="00E31218" w:rsidP="007D5039">
      <w:pPr>
        <w:numPr>
          <w:ilvl w:val="0"/>
          <w:numId w:val="5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stanovení dalších </w:t>
      </w:r>
      <w:r>
        <w:rPr>
          <w:rFonts w:cs="Arial"/>
          <w:szCs w:val="20"/>
        </w:rPr>
        <w:t xml:space="preserve">podmínek a </w:t>
      </w:r>
      <w:r w:rsidRPr="005E4767">
        <w:rPr>
          <w:rFonts w:cs="Arial"/>
          <w:szCs w:val="20"/>
        </w:rPr>
        <w:t>opatření pro bezpečné provedení práce.</w:t>
      </w:r>
    </w:p>
    <w:p w14:paraId="043B0314" w14:textId="77777777" w:rsidR="00E31218" w:rsidRPr="005E4767" w:rsidRDefault="00E31218" w:rsidP="007D5039">
      <w:pPr>
        <w:pStyle w:val="Nadpis3"/>
        <w:jc w:val="both"/>
      </w:pPr>
      <w:r w:rsidRPr="005E4767">
        <w:t xml:space="preserve">Zástupce </w:t>
      </w:r>
      <w:r w:rsidR="00531B3D">
        <w:t>přilehlého</w:t>
      </w:r>
      <w:r>
        <w:t xml:space="preserve"> objektu</w:t>
      </w:r>
    </w:p>
    <w:p w14:paraId="66F1CB17" w14:textId="77777777" w:rsidR="00E31218" w:rsidRPr="005E4767" w:rsidRDefault="00E31218" w:rsidP="007D5039">
      <w:pPr>
        <w:pStyle w:val="Nadpis4"/>
        <w:jc w:val="both"/>
      </w:pPr>
      <w:r w:rsidRPr="005E4767">
        <w:t xml:space="preserve">Zástupce </w:t>
      </w:r>
      <w:r w:rsidR="00531B3D">
        <w:t>přilehlého</w:t>
      </w:r>
      <w:r>
        <w:t xml:space="preserve"> objektu </w:t>
      </w:r>
      <w:r w:rsidRPr="005E4767">
        <w:t xml:space="preserve"> je v rozsahu své odborné způsobilosti a působnosti odpovědný za:</w:t>
      </w:r>
    </w:p>
    <w:p w14:paraId="65090D5E" w14:textId="77777777" w:rsidR="00E31218" w:rsidRPr="005E4767" w:rsidRDefault="00E31218" w:rsidP="007D5039">
      <w:pPr>
        <w:numPr>
          <w:ilvl w:val="0"/>
          <w:numId w:val="6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posouzení stanovených podmínek,</w:t>
      </w:r>
    </w:p>
    <w:p w14:paraId="2752AB16" w14:textId="77777777" w:rsidR="00E31218" w:rsidRPr="005E4767" w:rsidRDefault="00E31218" w:rsidP="007D5039">
      <w:pPr>
        <w:numPr>
          <w:ilvl w:val="0"/>
          <w:numId w:val="6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stanovení dalších </w:t>
      </w:r>
      <w:r>
        <w:rPr>
          <w:rFonts w:cs="Arial"/>
          <w:szCs w:val="20"/>
        </w:rPr>
        <w:t xml:space="preserve">podmínek a </w:t>
      </w:r>
      <w:r w:rsidRPr="005E4767">
        <w:rPr>
          <w:rFonts w:cs="Arial"/>
          <w:szCs w:val="20"/>
        </w:rPr>
        <w:t>opatření pro bezpečné provedení práce,</w:t>
      </w:r>
    </w:p>
    <w:p w14:paraId="297A3FF6" w14:textId="77777777" w:rsidR="00E31218" w:rsidRDefault="00E31218" w:rsidP="007D5039">
      <w:pPr>
        <w:numPr>
          <w:ilvl w:val="0"/>
          <w:numId w:val="6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realizaci jemu stanovených </w:t>
      </w:r>
      <w:r>
        <w:rPr>
          <w:rFonts w:cs="Arial"/>
          <w:szCs w:val="20"/>
        </w:rPr>
        <w:t xml:space="preserve">podmínek a </w:t>
      </w:r>
      <w:r w:rsidRPr="005E4767">
        <w:rPr>
          <w:rFonts w:cs="Arial"/>
          <w:szCs w:val="20"/>
        </w:rPr>
        <w:t>opatření.</w:t>
      </w:r>
    </w:p>
    <w:p w14:paraId="51F49975" w14:textId="77777777" w:rsidR="00E31218" w:rsidRPr="005E4767" w:rsidRDefault="00E31218" w:rsidP="007D5039">
      <w:pPr>
        <w:pStyle w:val="Nadpis3"/>
        <w:jc w:val="both"/>
      </w:pPr>
      <w:r w:rsidRPr="005E4767">
        <w:t>Trvalý dozor</w:t>
      </w:r>
    </w:p>
    <w:p w14:paraId="2FAFF638" w14:textId="77777777" w:rsidR="00E31218" w:rsidRPr="005E4767" w:rsidRDefault="00E31218" w:rsidP="007D5039">
      <w:pPr>
        <w:spacing w:after="12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Osoba určená účastníkem povolovacího řízení k vykonávání trvalého dozoru na práci. </w:t>
      </w:r>
      <w:r>
        <w:rPr>
          <w:rFonts w:cs="Arial"/>
          <w:szCs w:val="20"/>
        </w:rPr>
        <w:t>Trvalý dozor nesmí vykonávat</w:t>
      </w:r>
      <w:r w:rsidRPr="005E4767">
        <w:rPr>
          <w:rFonts w:cs="Arial"/>
          <w:szCs w:val="20"/>
        </w:rPr>
        <w:t xml:space="preserve"> jiné činnosti s výjimkou řízení záchranných prací do doby příjezdu jednotek int</w:t>
      </w:r>
      <w:r>
        <w:rPr>
          <w:rFonts w:cs="Arial"/>
          <w:szCs w:val="20"/>
        </w:rPr>
        <w:t>egrovaného záchranného systému</w:t>
      </w:r>
      <w:r w:rsidR="00473A74">
        <w:rPr>
          <w:rFonts w:cs="Arial"/>
          <w:szCs w:val="20"/>
        </w:rPr>
        <w:t>.</w:t>
      </w:r>
    </w:p>
    <w:p w14:paraId="0C859E95" w14:textId="77777777" w:rsidR="00E31218" w:rsidRPr="005E4767" w:rsidRDefault="00E31218" w:rsidP="007D5039">
      <w:pPr>
        <w:pStyle w:val="Nadpis4"/>
        <w:jc w:val="both"/>
      </w:pPr>
      <w:r w:rsidRPr="005E4767">
        <w:t>Trvalý dozor je odpovědný za:</w:t>
      </w:r>
    </w:p>
    <w:p w14:paraId="7D21849B" w14:textId="77777777" w:rsidR="00E31218" w:rsidRPr="00816815" w:rsidRDefault="00E31218" w:rsidP="007D5039">
      <w:pPr>
        <w:numPr>
          <w:ilvl w:val="0"/>
          <w:numId w:val="7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nepřetržité sledování průběhu prací a to zejména s ohledem na zajištění bezpečnosti osob v ohroženém prostoru,</w:t>
      </w:r>
    </w:p>
    <w:p w14:paraId="09E91D48" w14:textId="77777777" w:rsidR="00E31218" w:rsidRPr="005E4767" w:rsidRDefault="00E31218" w:rsidP="007D5039">
      <w:pPr>
        <w:numPr>
          <w:ilvl w:val="0"/>
          <w:numId w:val="7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okamžité přerušení prací v případě změny stanovených podmínek, jejich neplnění nebo nemožnosti vykonávat trvalý dozor,</w:t>
      </w:r>
    </w:p>
    <w:p w14:paraId="4F150715" w14:textId="77777777" w:rsidR="00E31218" w:rsidRPr="00443CDC" w:rsidRDefault="00E31218" w:rsidP="007D5039">
      <w:pPr>
        <w:numPr>
          <w:ilvl w:val="0"/>
          <w:numId w:val="7"/>
        </w:numPr>
        <w:tabs>
          <w:tab w:val="clear" w:pos="720"/>
          <w:tab w:val="num" w:pos="1134"/>
        </w:tabs>
        <w:spacing w:after="120"/>
        <w:ind w:left="1134" w:hanging="425"/>
        <w:jc w:val="both"/>
        <w:rPr>
          <w:rFonts w:cs="Arial"/>
          <w:szCs w:val="20"/>
        </w:rPr>
      </w:pPr>
      <w:r w:rsidRPr="00443CDC">
        <w:rPr>
          <w:rFonts w:cs="Arial"/>
          <w:szCs w:val="20"/>
        </w:rPr>
        <w:t>provedení nutných opatření k záchraně ohrožených osob v případě vzniku mimořádné události.</w:t>
      </w:r>
    </w:p>
    <w:p w14:paraId="74BD85BF" w14:textId="77777777" w:rsidR="00E31218" w:rsidRPr="005E4767" w:rsidRDefault="00E31218" w:rsidP="007D5039">
      <w:pPr>
        <w:pStyle w:val="Nadpis3"/>
        <w:jc w:val="both"/>
      </w:pPr>
      <w:r w:rsidRPr="005E4767">
        <w:t>Požární dohled</w:t>
      </w:r>
    </w:p>
    <w:p w14:paraId="25C0D76A" w14:textId="77777777" w:rsidR="00E31218" w:rsidRPr="005E4767" w:rsidRDefault="00E31218" w:rsidP="007D5039">
      <w:pPr>
        <w:pStyle w:val="Nadpis4"/>
        <w:jc w:val="both"/>
      </w:pPr>
      <w:r w:rsidRPr="005E4767">
        <w:t>Požární dohled je odpovědný za:</w:t>
      </w:r>
    </w:p>
    <w:p w14:paraId="7214CE0E" w14:textId="77777777" w:rsidR="00E31218" w:rsidRPr="005E4767" w:rsidRDefault="00E31218" w:rsidP="007D5039">
      <w:pPr>
        <w:numPr>
          <w:ilvl w:val="0"/>
          <w:numId w:val="8"/>
        </w:numPr>
        <w:tabs>
          <w:tab w:val="clear" w:pos="720"/>
          <w:tab w:val="num" w:pos="1260"/>
        </w:tabs>
        <w:spacing w:after="120" w:line="240" w:lineRule="exact"/>
        <w:ind w:left="1259" w:hanging="357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kontrolu předepsaného vybavení a zajištění pracoviště před zahájením práce s ohněm,</w:t>
      </w:r>
    </w:p>
    <w:p w14:paraId="2331D30B" w14:textId="77777777" w:rsidR="00E31218" w:rsidRPr="005E4767" w:rsidRDefault="00E31218" w:rsidP="007D5039">
      <w:pPr>
        <w:numPr>
          <w:ilvl w:val="0"/>
          <w:numId w:val="8"/>
        </w:numPr>
        <w:tabs>
          <w:tab w:val="clear" w:pos="720"/>
          <w:tab w:val="num" w:pos="1260"/>
        </w:tabs>
        <w:spacing w:after="120"/>
        <w:ind w:left="126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kontrolu místa práce s ohněm a přilehlých prostorů, v průběhu a po skončení prací s ohněm,</w:t>
      </w:r>
    </w:p>
    <w:p w14:paraId="497A0C76" w14:textId="77777777" w:rsidR="00E31218" w:rsidRPr="005E4767" w:rsidRDefault="00E31218" w:rsidP="007D5039">
      <w:pPr>
        <w:numPr>
          <w:ilvl w:val="0"/>
          <w:numId w:val="8"/>
        </w:numPr>
        <w:tabs>
          <w:tab w:val="clear" w:pos="720"/>
          <w:tab w:val="num" w:pos="1260"/>
        </w:tabs>
        <w:spacing w:after="120"/>
        <w:ind w:left="126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okamžité přerušení prací v případě změny stanovených podmínek, jejich neplnění, </w:t>
      </w:r>
      <w:r>
        <w:rPr>
          <w:rFonts w:cs="Arial"/>
          <w:szCs w:val="20"/>
        </w:rPr>
        <w:t>přerušení</w:t>
      </w:r>
      <w:r w:rsidRPr="005E4767">
        <w:rPr>
          <w:rFonts w:cs="Arial"/>
          <w:szCs w:val="20"/>
        </w:rPr>
        <w:t xml:space="preserve"> vykonáv</w:t>
      </w:r>
      <w:r>
        <w:rPr>
          <w:rFonts w:cs="Arial"/>
          <w:szCs w:val="20"/>
        </w:rPr>
        <w:t>ání</w:t>
      </w:r>
      <w:r w:rsidRPr="005E4767">
        <w:rPr>
          <w:rFonts w:cs="Arial"/>
          <w:szCs w:val="20"/>
        </w:rPr>
        <w:t xml:space="preserve"> požární</w:t>
      </w:r>
      <w:r>
        <w:rPr>
          <w:rFonts w:cs="Arial"/>
          <w:szCs w:val="20"/>
        </w:rPr>
        <w:t>ho</w:t>
      </w:r>
      <w:r w:rsidRPr="005E4767">
        <w:rPr>
          <w:rFonts w:cs="Arial"/>
          <w:szCs w:val="20"/>
        </w:rPr>
        <w:t xml:space="preserve"> dohled</w:t>
      </w:r>
      <w:r>
        <w:rPr>
          <w:rFonts w:cs="Arial"/>
          <w:szCs w:val="20"/>
        </w:rPr>
        <w:t>u</w:t>
      </w:r>
      <w:r w:rsidRPr="005E4767">
        <w:rPr>
          <w:rFonts w:cs="Arial"/>
          <w:szCs w:val="20"/>
        </w:rPr>
        <w:t xml:space="preserve"> nebo v případě nebezpečí nebo vzniku požáru,</w:t>
      </w:r>
    </w:p>
    <w:p w14:paraId="6A3CDEEF" w14:textId="77777777" w:rsidR="00E31218" w:rsidRPr="005E4767" w:rsidRDefault="00E31218" w:rsidP="007D5039">
      <w:pPr>
        <w:numPr>
          <w:ilvl w:val="0"/>
          <w:numId w:val="8"/>
        </w:numPr>
        <w:tabs>
          <w:tab w:val="clear" w:pos="720"/>
          <w:tab w:val="num" w:pos="1260"/>
        </w:tabs>
        <w:spacing w:after="120" w:line="240" w:lineRule="exact"/>
        <w:ind w:left="126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provedení nutných opatření k záchraně ohrožených osob v případě vzniku požáru (likvidace požáru, odstranění tlakových lahví, přivolání jednotky požární ochrany),</w:t>
      </w:r>
    </w:p>
    <w:p w14:paraId="3C416F62" w14:textId="77777777" w:rsidR="00E31218" w:rsidRPr="005E4767" w:rsidRDefault="00E31218" w:rsidP="007D5039">
      <w:pPr>
        <w:numPr>
          <w:ilvl w:val="0"/>
          <w:numId w:val="8"/>
        </w:numPr>
        <w:tabs>
          <w:tab w:val="clear" w:pos="720"/>
          <w:tab w:val="num" w:pos="1260"/>
        </w:tabs>
        <w:spacing w:after="120"/>
        <w:ind w:left="126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vykonávání následných kontrol stanovených po skončení prací s ohněm,</w:t>
      </w:r>
    </w:p>
    <w:p w14:paraId="355AE668" w14:textId="77777777" w:rsidR="00DF1EB4" w:rsidRPr="00DF1EB4" w:rsidRDefault="00E31218" w:rsidP="007D5039">
      <w:pPr>
        <w:numPr>
          <w:ilvl w:val="0"/>
          <w:numId w:val="8"/>
        </w:numPr>
        <w:tabs>
          <w:tab w:val="clear" w:pos="720"/>
          <w:tab w:val="num" w:pos="1260"/>
        </w:tabs>
        <w:spacing w:after="120"/>
        <w:ind w:left="126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provedení záznamu o prováděném požárním </w:t>
      </w:r>
      <w:r w:rsidRPr="00612364">
        <w:rPr>
          <w:rFonts w:cs="Arial"/>
          <w:szCs w:val="20"/>
        </w:rPr>
        <w:t>dohledu v příloze ZPBO.</w:t>
      </w:r>
    </w:p>
    <w:p w14:paraId="7B45FB85" w14:textId="77777777" w:rsidR="00E31218" w:rsidRPr="005E4767" w:rsidRDefault="00E31218" w:rsidP="007D5039">
      <w:pPr>
        <w:pStyle w:val="Nadpis3"/>
        <w:jc w:val="both"/>
      </w:pPr>
      <w:r w:rsidRPr="005E4767">
        <w:t>Koordinátor</w:t>
      </w:r>
    </w:p>
    <w:p w14:paraId="46CF120E" w14:textId="77777777" w:rsidR="00E31218" w:rsidRDefault="00E31218" w:rsidP="007D503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Určuje se při současném</w:t>
      </w:r>
      <w:r w:rsidRPr="005E476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provádění prací na ČS</w:t>
      </w:r>
      <w:r w:rsidRPr="005E4767">
        <w:rPr>
          <w:rFonts w:cs="Arial"/>
          <w:szCs w:val="20"/>
        </w:rPr>
        <w:t xml:space="preserve"> zaměstnanci 2 a více zaměstnavatelů</w:t>
      </w:r>
      <w:r>
        <w:rPr>
          <w:rFonts w:cs="Arial"/>
          <w:szCs w:val="20"/>
        </w:rPr>
        <w:t>, když se tyto práce</w:t>
      </w:r>
      <w:r w:rsidRPr="005E4767">
        <w:rPr>
          <w:rFonts w:cs="Arial"/>
          <w:szCs w:val="20"/>
        </w:rPr>
        <w:t xml:space="preserve"> mohou navzájem ovlivňovat nebo mohou ovlivnit bezpečnost okolních pracovišť i po realizaci stanovených opatření. </w:t>
      </w:r>
    </w:p>
    <w:p w14:paraId="10F47CEE" w14:textId="77777777" w:rsidR="00E31218" w:rsidRDefault="00E31218" w:rsidP="007D503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Koordinátorem je v případě účasti zaměstnanců </w:t>
      </w:r>
      <w:proofErr w:type="spellStart"/>
      <w:r w:rsidRPr="001412AA">
        <w:rPr>
          <w:rFonts w:cs="Arial"/>
          <w:szCs w:val="20"/>
        </w:rPr>
        <w:t>Tokheim</w:t>
      </w:r>
      <w:proofErr w:type="spellEnd"/>
      <w:r w:rsidRPr="001412AA">
        <w:rPr>
          <w:rFonts w:cs="Arial"/>
          <w:szCs w:val="20"/>
        </w:rPr>
        <w:t xml:space="preserve"> </w:t>
      </w:r>
      <w:proofErr w:type="spellStart"/>
      <w:r w:rsidRPr="001412AA">
        <w:rPr>
          <w:rFonts w:cs="Arial"/>
          <w:szCs w:val="20"/>
        </w:rPr>
        <w:t>Acis</w:t>
      </w:r>
      <w:proofErr w:type="spellEnd"/>
      <w:r w:rsidRPr="001412AA">
        <w:rPr>
          <w:rFonts w:cs="Arial"/>
          <w:szCs w:val="20"/>
        </w:rPr>
        <w:t>, s.r.o.</w:t>
      </w:r>
      <w:r>
        <w:rPr>
          <w:rFonts w:cs="Arial"/>
          <w:szCs w:val="20"/>
        </w:rPr>
        <w:t xml:space="preserve">  nebo ETK s.r.o. jeden z těchto zaměstnanců, zpravidla vedoucí jejich pracovní skupiny. V ostatních případech určí koordinátora Vystavovatel.</w:t>
      </w:r>
    </w:p>
    <w:p w14:paraId="0E6961C6" w14:textId="77777777" w:rsidR="00E31218" w:rsidRPr="005E4767" w:rsidRDefault="00E31218" w:rsidP="007D5039">
      <w:pPr>
        <w:spacing w:after="12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Koordinátor je odpovědný za organizaci a řízení návaznosti prací a koordinaci provádění opatření pro bezpečné provedení</w:t>
      </w:r>
      <w:r>
        <w:rPr>
          <w:rFonts w:cs="Arial"/>
          <w:szCs w:val="20"/>
        </w:rPr>
        <w:t xml:space="preserve"> prací</w:t>
      </w:r>
      <w:r w:rsidRPr="005E4767">
        <w:rPr>
          <w:rFonts w:cs="Arial"/>
          <w:szCs w:val="20"/>
        </w:rPr>
        <w:t>.</w:t>
      </w:r>
    </w:p>
    <w:p w14:paraId="7BD89BF4" w14:textId="77777777" w:rsidR="00E31218" w:rsidRPr="005E4767" w:rsidRDefault="00E31218" w:rsidP="007D5039">
      <w:pPr>
        <w:pStyle w:val="Nadpis3"/>
        <w:jc w:val="both"/>
      </w:pPr>
      <w:r w:rsidRPr="005E4767">
        <w:lastRenderedPageBreak/>
        <w:t>Koordinátor na staveništích</w:t>
      </w:r>
    </w:p>
    <w:p w14:paraId="3FE3D43B" w14:textId="77777777" w:rsidR="00E31218" w:rsidRPr="005E4767" w:rsidRDefault="00E31218" w:rsidP="007D5039">
      <w:pPr>
        <w:spacing w:after="12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>Činnost koordinátora stavby je vyžadována při investičních stavbách</w:t>
      </w:r>
      <w:r w:rsidR="00DF1EB4" w:rsidRPr="00DF1EB4">
        <w:t xml:space="preserve"> </w:t>
      </w:r>
      <w:r w:rsidR="00DF1EB4" w:rsidRPr="00DF1EB4">
        <w:rPr>
          <w:rFonts w:cs="Arial"/>
          <w:szCs w:val="20"/>
        </w:rPr>
        <w:t>vyžadující</w:t>
      </w:r>
      <w:r w:rsidR="00DF1EB4">
        <w:rPr>
          <w:rFonts w:cs="Arial"/>
          <w:szCs w:val="20"/>
        </w:rPr>
        <w:t>ch</w:t>
      </w:r>
      <w:r w:rsidR="00DF1EB4" w:rsidRPr="00DF1EB4">
        <w:rPr>
          <w:rFonts w:cs="Arial"/>
          <w:szCs w:val="20"/>
        </w:rPr>
        <w:t xml:space="preserve"> stavební povolení nebo ohlášení stavebnímu úřadu</w:t>
      </w:r>
      <w:r w:rsidR="00DF1EB4">
        <w:rPr>
          <w:rFonts w:cs="Arial"/>
          <w:szCs w:val="20"/>
        </w:rPr>
        <w:t>,</w:t>
      </w:r>
      <w:r w:rsidR="00DF1EB4" w:rsidRPr="00DF1EB4" w:rsidDel="00DF1EB4">
        <w:rPr>
          <w:rFonts w:cs="Arial"/>
          <w:szCs w:val="20"/>
        </w:rPr>
        <w:t xml:space="preserve"> </w:t>
      </w:r>
      <w:r w:rsidRPr="005E4767">
        <w:rPr>
          <w:rFonts w:cs="Arial"/>
          <w:szCs w:val="20"/>
        </w:rPr>
        <w:t>na kterých budou působit zaměstnanci více zhotovitelů stavby (subdodávky v tomto nejsou zohledňovány) a zároveň se jedná o stavby:</w:t>
      </w:r>
    </w:p>
    <w:p w14:paraId="2251A730" w14:textId="77777777" w:rsidR="00E31218" w:rsidRPr="005E4767" w:rsidRDefault="00E31218" w:rsidP="007D5039">
      <w:pPr>
        <w:numPr>
          <w:ilvl w:val="0"/>
          <w:numId w:val="56"/>
        </w:numPr>
        <w:jc w:val="both"/>
      </w:pPr>
      <w:r w:rsidRPr="005E4767">
        <w:t>kde trvání prací přesáhne 30 pracovních dnů za současného vykonávání práce více než 20 osobami delší než 1 pracovní den</w:t>
      </w:r>
      <w:r>
        <w:t>,</w:t>
      </w:r>
    </w:p>
    <w:p w14:paraId="3187A86A" w14:textId="77777777" w:rsidR="00E31218" w:rsidRPr="005E4767" w:rsidRDefault="00E31218" w:rsidP="007D5039">
      <w:pPr>
        <w:numPr>
          <w:ilvl w:val="0"/>
          <w:numId w:val="56"/>
        </w:numPr>
        <w:jc w:val="both"/>
      </w:pPr>
      <w:r w:rsidRPr="005E4767">
        <w:t>kdy objem prací přesáhne 500 pracovních dnů v přepočtu na osobu.</w:t>
      </w:r>
    </w:p>
    <w:p w14:paraId="3C54CB64" w14:textId="77777777" w:rsidR="00E31218" w:rsidRDefault="00E31218" w:rsidP="007D5039">
      <w:pPr>
        <w:tabs>
          <w:tab w:val="left" w:pos="567"/>
        </w:tabs>
        <w:spacing w:after="120"/>
        <w:ind w:left="900" w:hanging="900"/>
        <w:jc w:val="both"/>
        <w:rPr>
          <w:rFonts w:cs="Arial"/>
          <w:szCs w:val="20"/>
        </w:rPr>
      </w:pPr>
      <w:r w:rsidRPr="005E4767">
        <w:rPr>
          <w:rFonts w:cs="Arial"/>
          <w:szCs w:val="20"/>
        </w:rPr>
        <w:t xml:space="preserve">Na výše uvedených stavbách přebírá odpovědnosti koordinátora dle čl. </w:t>
      </w:r>
      <w:r>
        <w:rPr>
          <w:rFonts w:cs="Arial"/>
          <w:szCs w:val="20"/>
        </w:rPr>
        <w:t>4.</w:t>
      </w:r>
      <w:r w:rsidR="00DF1EB4">
        <w:rPr>
          <w:rFonts w:cs="Arial"/>
          <w:szCs w:val="20"/>
        </w:rPr>
        <w:t>1.9</w:t>
      </w:r>
      <w:r w:rsidR="00483CC2">
        <w:rPr>
          <w:rFonts w:cs="Arial"/>
          <w:szCs w:val="20"/>
        </w:rPr>
        <w:t>.</w:t>
      </w:r>
    </w:p>
    <w:p w14:paraId="1C0B8FDA" w14:textId="77777777" w:rsidR="00E31218" w:rsidRDefault="00E31218" w:rsidP="007D5039">
      <w:pPr>
        <w:tabs>
          <w:tab w:val="left" w:pos="567"/>
        </w:tabs>
        <w:spacing w:after="120"/>
        <w:ind w:left="900" w:hanging="900"/>
        <w:jc w:val="both"/>
        <w:rPr>
          <w:rFonts w:cs="Arial"/>
          <w:szCs w:val="20"/>
        </w:rPr>
      </w:pPr>
      <w:r>
        <w:rPr>
          <w:rFonts w:cs="Arial"/>
          <w:szCs w:val="20"/>
        </w:rPr>
        <w:t>Koordinátorem stavby nemůže být zaměstnanec Zhotovitele.</w:t>
      </w:r>
    </w:p>
    <w:p w14:paraId="029A4D7B" w14:textId="77777777" w:rsidR="00141304" w:rsidRPr="00254073" w:rsidRDefault="00AA20FF" w:rsidP="007D5039">
      <w:pPr>
        <w:pStyle w:val="Nadpis2"/>
        <w:jc w:val="both"/>
      </w:pPr>
      <w:bookmarkStart w:id="11" w:name="_Toc70486836"/>
      <w:r w:rsidRPr="00254073">
        <w:t>Způsoby</w:t>
      </w:r>
      <w:r w:rsidR="005A792D" w:rsidRPr="00254073">
        <w:t xml:space="preserve"> povolování prací</w:t>
      </w:r>
      <w:bookmarkEnd w:id="10"/>
      <w:bookmarkEnd w:id="11"/>
    </w:p>
    <w:p w14:paraId="749B0C65" w14:textId="77777777" w:rsidR="005D3952" w:rsidRPr="005D3952" w:rsidRDefault="00EC7E0A" w:rsidP="007D5039">
      <w:pPr>
        <w:pStyle w:val="Nadpis3"/>
        <w:jc w:val="both"/>
      </w:pPr>
      <w:r>
        <w:t>P</w:t>
      </w:r>
      <w:r w:rsidR="00AA20FF">
        <w:t>r</w:t>
      </w:r>
      <w:r>
        <w:t>áce</w:t>
      </w:r>
      <w:r w:rsidR="005D3952">
        <w:t xml:space="preserve"> mimo systémy </w:t>
      </w:r>
      <w:r w:rsidR="00022598">
        <w:t>ZP</w:t>
      </w:r>
      <w:r w:rsidR="005D3952">
        <w:t xml:space="preserve"> a </w:t>
      </w:r>
      <w:proofErr w:type="spellStart"/>
      <w:r w:rsidR="005D3952">
        <w:t>PkP</w:t>
      </w:r>
      <w:proofErr w:type="spellEnd"/>
    </w:p>
    <w:p w14:paraId="7B377F0B" w14:textId="77777777" w:rsidR="00045F28" w:rsidRPr="00517631" w:rsidRDefault="00EC7E0A" w:rsidP="007D5039">
      <w:pPr>
        <w:pStyle w:val="Nadpis4"/>
        <w:jc w:val="both"/>
      </w:pPr>
      <w:r>
        <w:t>P</w:t>
      </w:r>
      <w:r w:rsidR="003D4AC9" w:rsidRPr="00517631">
        <w:t>rác</w:t>
      </w:r>
      <w:r>
        <w:t>e</w:t>
      </w:r>
      <w:r w:rsidR="003D4AC9" w:rsidRPr="00517631">
        <w:t xml:space="preserve"> </w:t>
      </w:r>
      <w:r w:rsidR="00045F28" w:rsidRPr="00517631">
        <w:t xml:space="preserve">na </w:t>
      </w:r>
      <w:r w:rsidR="00D05DD8" w:rsidRPr="00517631">
        <w:t>protokol</w:t>
      </w:r>
      <w:r w:rsidR="00256A7A">
        <w:t xml:space="preserve">em </w:t>
      </w:r>
      <w:r w:rsidR="00D05DD8" w:rsidRPr="00517631">
        <w:t>vyčleněných pracovištích</w:t>
      </w:r>
    </w:p>
    <w:p w14:paraId="1B11BF9C" w14:textId="77777777" w:rsidR="00567DD1" w:rsidRDefault="00FA66AE" w:rsidP="007D5039">
      <w:pPr>
        <w:pStyle w:val="Nadpis4"/>
        <w:numPr>
          <w:ilvl w:val="0"/>
          <w:numId w:val="0"/>
        </w:numPr>
        <w:jc w:val="both"/>
      </w:pPr>
      <w:r w:rsidRPr="00517631">
        <w:t>Na těchto pracovištích je systém povolování prací stanoven příslušným Protokolem</w:t>
      </w:r>
      <w:r w:rsidR="00567DD1">
        <w:t xml:space="preserve">, jehož vzor je uveden v Příloze </w:t>
      </w:r>
      <w:r w:rsidR="00DA64E4">
        <w:t>10 ke směrnici 027/2</w:t>
      </w:r>
      <w:r w:rsidR="007A7720">
        <w:t xml:space="preserve"> „</w:t>
      </w:r>
      <w:r w:rsidR="007A7720" w:rsidRPr="007A7720">
        <w:t>Řízení investičních projektů na čerpacích stanicích BENZINA, s.r.o.</w:t>
      </w:r>
      <w:r w:rsidR="007A7720">
        <w:t>“</w:t>
      </w:r>
      <w:r w:rsidR="00D45418">
        <w:t xml:space="preserve">. </w:t>
      </w:r>
    </w:p>
    <w:p w14:paraId="12F08BD5" w14:textId="77777777" w:rsidR="003314CA" w:rsidRPr="003314CA" w:rsidRDefault="003314CA" w:rsidP="007D5039">
      <w:pPr>
        <w:jc w:val="both"/>
      </w:pPr>
      <w:r>
        <w:t>Pokud se na těchto pracovištích vyskytují zaměstnanci více zhotovitelů,</w:t>
      </w:r>
      <w:r w:rsidR="007A7720">
        <w:t xml:space="preserve"> </w:t>
      </w:r>
      <w:r>
        <w:t>pak ten, který převzal protokolárně pracoviště</w:t>
      </w:r>
      <w:r w:rsidR="007A7720">
        <w:t>,</w:t>
      </w:r>
      <w:r>
        <w:t xml:space="preserve"> je Vyšším zhotovitelem a zajišťuje plnění</w:t>
      </w:r>
      <w:r w:rsidRPr="003314C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Minimálních požadavků stanovených v Příloze F</w:t>
      </w:r>
      <w:r w:rsidR="007A7720">
        <w:rPr>
          <w:rFonts w:cs="Arial"/>
          <w:szCs w:val="20"/>
        </w:rPr>
        <w:t>.</w:t>
      </w:r>
    </w:p>
    <w:p w14:paraId="31311AC9" w14:textId="77777777" w:rsidR="00BB47BF" w:rsidRDefault="00964427" w:rsidP="007D5039">
      <w:pPr>
        <w:pStyle w:val="Nadpis4"/>
        <w:numPr>
          <w:ilvl w:val="0"/>
          <w:numId w:val="0"/>
        </w:numPr>
        <w:jc w:val="both"/>
      </w:pPr>
      <w:r w:rsidRPr="00517631">
        <w:t>Při protokolárním vyčlenění pracoviště je povinným účastníkem tohoto řízení</w:t>
      </w:r>
      <w:r w:rsidR="00FA66AE" w:rsidRPr="00517631">
        <w:t xml:space="preserve"> </w:t>
      </w:r>
      <w:r w:rsidR="001037A9">
        <w:t>Partner</w:t>
      </w:r>
      <w:r w:rsidR="00FA66AE" w:rsidRPr="00517631">
        <w:t>.</w:t>
      </w:r>
      <w:r w:rsidR="003314CA">
        <w:t xml:space="preserve"> </w:t>
      </w:r>
    </w:p>
    <w:p w14:paraId="43DD5188" w14:textId="77777777" w:rsidR="00D05DD8" w:rsidRPr="00517631" w:rsidRDefault="00EC7E0A" w:rsidP="007D5039">
      <w:pPr>
        <w:pStyle w:val="Nadpis4"/>
        <w:jc w:val="both"/>
      </w:pPr>
      <w:r>
        <w:t>P</w:t>
      </w:r>
      <w:r w:rsidR="003D4AC9" w:rsidRPr="00517631">
        <w:t>rác</w:t>
      </w:r>
      <w:r w:rsidR="00E634CB">
        <w:t>e</w:t>
      </w:r>
      <w:r w:rsidR="003D4AC9" w:rsidRPr="00517631">
        <w:t xml:space="preserve"> </w:t>
      </w:r>
      <w:r w:rsidR="00D05DD8" w:rsidRPr="00517631">
        <w:t>při nebezpečí z</w:t>
      </w:r>
      <w:r w:rsidR="00843C37" w:rsidRPr="00517631">
        <w:t> </w:t>
      </w:r>
      <w:r w:rsidR="00D05DD8" w:rsidRPr="00517631">
        <w:t>prodlení</w:t>
      </w:r>
    </w:p>
    <w:p w14:paraId="1C8DB74F" w14:textId="77777777" w:rsidR="00E958AA" w:rsidRDefault="00E634CB" w:rsidP="007D5039">
      <w:pPr>
        <w:jc w:val="both"/>
      </w:pPr>
      <w:r>
        <w:t>P</w:t>
      </w:r>
      <w:r w:rsidRPr="00795DE9">
        <w:t>ráce související s odvrácením ohrožení života osob, práce související s odvrácením škod na životním prostředí a práce předcházející škodám na majetku. Práce lze provádět pouze při zajištění podmí</w:t>
      </w:r>
      <w:r w:rsidR="0024275B">
        <w:t>nek, které by byly stanoveny při</w:t>
      </w:r>
      <w:r w:rsidRPr="00795DE9">
        <w:t xml:space="preserve"> vystavení </w:t>
      </w:r>
      <w:proofErr w:type="spellStart"/>
      <w:r>
        <w:t>PkP</w:t>
      </w:r>
      <w:proofErr w:type="spellEnd"/>
      <w:r w:rsidRPr="00795DE9">
        <w:t xml:space="preserve"> (např. ochranné prostředky, analýza prostředí).</w:t>
      </w:r>
    </w:p>
    <w:p w14:paraId="03BE1091" w14:textId="77777777" w:rsidR="00D00854" w:rsidRDefault="00EB6247" w:rsidP="007D5039">
      <w:pPr>
        <w:jc w:val="both"/>
      </w:pPr>
      <w:r>
        <w:t>Z</w:t>
      </w:r>
      <w:r w:rsidR="00FA66AE" w:rsidRPr="003D4AC9">
        <w:t>ásahy</w:t>
      </w:r>
      <w:r w:rsidR="008E7470">
        <w:t xml:space="preserve"> (včetně cvičných)</w:t>
      </w:r>
      <w:r w:rsidR="00FA66AE" w:rsidRPr="003D4AC9">
        <w:t xml:space="preserve"> jednotek integrovaného záchranného systému sloužící k zajištění uzavírek ohrožených prostorů, v případě řešení nebo předcházení mimořádný</w:t>
      </w:r>
      <w:r w:rsidR="00705CF2">
        <w:t>m</w:t>
      </w:r>
      <w:r w:rsidR="00FA66AE" w:rsidRPr="003D4AC9">
        <w:t xml:space="preserve"> událost</w:t>
      </w:r>
      <w:r w:rsidR="00705CF2">
        <w:t>em</w:t>
      </w:r>
      <w:r w:rsidR="00FA66AE" w:rsidRPr="003D4AC9">
        <w:t xml:space="preserve"> dle požadavku velitele zásahu (hasičský záchranný sbor)</w:t>
      </w:r>
      <w:r w:rsidR="007A7720">
        <w:t>.</w:t>
      </w:r>
      <w:r w:rsidR="00FA66AE" w:rsidRPr="003D4AC9">
        <w:t xml:space="preserve"> </w:t>
      </w:r>
    </w:p>
    <w:p w14:paraId="2D8E4D5D" w14:textId="77777777" w:rsidR="00567DD1" w:rsidRDefault="00022598" w:rsidP="007D5039">
      <w:pPr>
        <w:pStyle w:val="Nadpis3"/>
        <w:jc w:val="both"/>
      </w:pPr>
      <w:r>
        <w:t>Zapsaná práce (ZP)</w:t>
      </w:r>
    </w:p>
    <w:p w14:paraId="473AB596" w14:textId="77777777" w:rsidR="00D30D56" w:rsidRPr="004F5871" w:rsidRDefault="00D30D56" w:rsidP="007D5039">
      <w:pPr>
        <w:pStyle w:val="Nadpis4"/>
        <w:jc w:val="both"/>
      </w:pPr>
      <w:r w:rsidRPr="004F5871">
        <w:t>Práce bez zásahu do zařízení</w:t>
      </w:r>
      <w:r w:rsidR="00726C35">
        <w:t xml:space="preserve"> ČS</w:t>
      </w:r>
    </w:p>
    <w:p w14:paraId="32551C4D" w14:textId="77777777" w:rsidR="00CD6295" w:rsidRDefault="00C45C5A" w:rsidP="007D5039">
      <w:pPr>
        <w:jc w:val="both"/>
      </w:pPr>
      <w:r w:rsidRPr="00310E9D">
        <w:t>Práce</w:t>
      </w:r>
      <w:r w:rsidR="00D30D56" w:rsidRPr="00310E9D">
        <w:t xml:space="preserve"> b</w:t>
      </w:r>
      <w:r w:rsidR="00461D8C" w:rsidRPr="00310E9D">
        <w:t>ez zásahu do zařízení</w:t>
      </w:r>
      <w:r w:rsidR="00082774" w:rsidRPr="00310E9D">
        <w:t xml:space="preserve"> </w:t>
      </w:r>
      <w:r w:rsidR="00DA64E4">
        <w:t>ČS</w:t>
      </w:r>
      <w:r w:rsidR="00461D8C" w:rsidRPr="00310E9D">
        <w:t xml:space="preserve">. </w:t>
      </w:r>
      <w:r w:rsidRPr="00310E9D">
        <w:t>Tyto práce mohou samostatně provádět pouze osoby prokazatelně proškolené z místních podmínek</w:t>
      </w:r>
      <w:r w:rsidRPr="004F5871">
        <w:t>. V ostatních případech je možné práce provádět pouze pod dozorem provozního zaměstnance</w:t>
      </w:r>
      <w:r w:rsidR="00DA64E4">
        <w:t xml:space="preserve"> ČS</w:t>
      </w:r>
      <w:r w:rsidRPr="004F5871">
        <w:t xml:space="preserve">. </w:t>
      </w:r>
    </w:p>
    <w:p w14:paraId="062B8387" w14:textId="77777777" w:rsidR="00CB7841" w:rsidRPr="00517631" w:rsidRDefault="00E958AA" w:rsidP="007D5039">
      <w:pPr>
        <w:pStyle w:val="Nadpis4"/>
        <w:jc w:val="both"/>
      </w:pPr>
      <w:r>
        <w:t>P</w:t>
      </w:r>
      <w:r w:rsidR="00CB7841" w:rsidRPr="00517631">
        <w:t>ráce</w:t>
      </w:r>
      <w:r w:rsidR="009A4A84">
        <w:t xml:space="preserve"> splňující </w:t>
      </w:r>
      <w:r w:rsidR="00454EA7">
        <w:t xml:space="preserve">všechna </w:t>
      </w:r>
      <w:r w:rsidR="009A4A84">
        <w:t>níže uvedená kritéria</w:t>
      </w:r>
      <w:r w:rsidR="00CB7841" w:rsidRPr="00517631">
        <w:t>:</w:t>
      </w:r>
    </w:p>
    <w:p w14:paraId="4E618571" w14:textId="77777777" w:rsidR="00726C35" w:rsidRPr="00CD614B" w:rsidRDefault="00454EA7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 w:rsidRPr="008527DB">
        <w:t xml:space="preserve">práce </w:t>
      </w:r>
      <w:r w:rsidR="00CD614B">
        <w:t>prováděné</w:t>
      </w:r>
      <w:r w:rsidR="00CB7841" w:rsidRPr="008527DB">
        <w:t xml:space="preserve"> mimo prostor s nebezpečím výbuchu</w:t>
      </w:r>
      <w:r w:rsidR="007A7720">
        <w:t>,</w:t>
      </w:r>
      <w:r w:rsidR="008527DB" w:rsidRPr="008527DB">
        <w:t xml:space="preserve"> </w:t>
      </w:r>
    </w:p>
    <w:p w14:paraId="0E49311F" w14:textId="77777777" w:rsidR="00CB7841" w:rsidRPr="00726C35" w:rsidRDefault="00454EA7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 w:rsidRPr="00726C35">
        <w:rPr>
          <w:rFonts w:cs="Arial"/>
          <w:szCs w:val="20"/>
        </w:rPr>
        <w:t xml:space="preserve">práce </w:t>
      </w:r>
      <w:r w:rsidR="006031D3">
        <w:rPr>
          <w:rFonts w:cs="Arial"/>
          <w:szCs w:val="20"/>
        </w:rPr>
        <w:t xml:space="preserve">prováděné </w:t>
      </w:r>
      <w:r w:rsidR="00CB7841" w:rsidRPr="00726C35">
        <w:rPr>
          <w:rFonts w:cs="Arial"/>
          <w:szCs w:val="20"/>
        </w:rPr>
        <w:t>mimo nebezpečný prostor</w:t>
      </w:r>
      <w:r w:rsidR="00CB7841" w:rsidRPr="00517631">
        <w:t>,</w:t>
      </w:r>
    </w:p>
    <w:p w14:paraId="28EE2969" w14:textId="77777777" w:rsidR="004B0C73" w:rsidRPr="004F5871" w:rsidRDefault="00B449A3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 w:rsidRPr="004F5871">
        <w:rPr>
          <w:rFonts w:cs="Arial"/>
          <w:szCs w:val="20"/>
        </w:rPr>
        <w:t>práce s ohněm prováděn</w:t>
      </w:r>
      <w:r w:rsidR="00F86713">
        <w:rPr>
          <w:rFonts w:cs="Arial"/>
          <w:szCs w:val="20"/>
        </w:rPr>
        <w:t>é</w:t>
      </w:r>
      <w:r w:rsidRPr="004F5871">
        <w:rPr>
          <w:rFonts w:cs="Arial"/>
          <w:szCs w:val="20"/>
        </w:rPr>
        <w:t xml:space="preserve"> pouze </w:t>
      </w:r>
      <w:r w:rsidR="004B0C73" w:rsidRPr="004F5871">
        <w:rPr>
          <w:rFonts w:cs="Arial"/>
          <w:szCs w:val="20"/>
        </w:rPr>
        <w:t>se základními požárně</w:t>
      </w:r>
      <w:r w:rsidR="006031D3">
        <w:rPr>
          <w:rFonts w:cs="Arial"/>
          <w:szCs w:val="20"/>
        </w:rPr>
        <w:t xml:space="preserve">  </w:t>
      </w:r>
      <w:r w:rsidR="004B0C73" w:rsidRPr="004F5871">
        <w:rPr>
          <w:rFonts w:cs="Arial"/>
          <w:szCs w:val="20"/>
        </w:rPr>
        <w:t>bezpečnostními opatřeními</w:t>
      </w:r>
      <w:r w:rsidR="00D37A42">
        <w:rPr>
          <w:rFonts w:cs="Arial"/>
          <w:szCs w:val="20"/>
        </w:rPr>
        <w:t>,</w:t>
      </w:r>
    </w:p>
    <w:p w14:paraId="53B76EFF" w14:textId="77777777" w:rsidR="00B449A3" w:rsidRPr="004F5871" w:rsidRDefault="00397B05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 w:rsidRPr="004F5871">
        <w:rPr>
          <w:rFonts w:cs="Arial"/>
          <w:szCs w:val="20"/>
        </w:rPr>
        <w:t xml:space="preserve">práce </w:t>
      </w:r>
      <w:r w:rsidR="00CD614B">
        <w:rPr>
          <w:rFonts w:cs="Arial"/>
          <w:szCs w:val="20"/>
        </w:rPr>
        <w:t>prováděné</w:t>
      </w:r>
      <w:r w:rsidRPr="004F5871">
        <w:rPr>
          <w:rFonts w:cs="Arial"/>
          <w:szCs w:val="20"/>
        </w:rPr>
        <w:t xml:space="preserve"> </w:t>
      </w:r>
      <w:r w:rsidR="009806EB" w:rsidRPr="004F5871">
        <w:rPr>
          <w:rFonts w:cs="Arial"/>
          <w:szCs w:val="20"/>
        </w:rPr>
        <w:t xml:space="preserve">bez použití zdrojů </w:t>
      </w:r>
      <w:r w:rsidRPr="004F5871">
        <w:rPr>
          <w:rFonts w:cs="Arial"/>
          <w:szCs w:val="20"/>
        </w:rPr>
        <w:t>záření</w:t>
      </w:r>
      <w:r w:rsidR="00B449A3" w:rsidRPr="004F5871">
        <w:rPr>
          <w:rFonts w:cs="Arial"/>
          <w:szCs w:val="20"/>
        </w:rPr>
        <w:t>,</w:t>
      </w:r>
    </w:p>
    <w:p w14:paraId="3F29FBE9" w14:textId="77777777" w:rsidR="00CD614B" w:rsidRPr="00CD614B" w:rsidRDefault="00CD614B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práce neomezující provoz ČS</w:t>
      </w:r>
      <w:r w:rsidR="006031D3">
        <w:rPr>
          <w:rFonts w:cs="Arial"/>
          <w:szCs w:val="20"/>
        </w:rPr>
        <w:t>,</w:t>
      </w:r>
    </w:p>
    <w:p w14:paraId="48B1FA3A" w14:textId="77777777" w:rsidR="00CD614B" w:rsidRPr="00726C35" w:rsidRDefault="00CD614B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>
        <w:t>práce neomezující pohyb vozidel a veřejnosti na ČS</w:t>
      </w:r>
      <w:r w:rsidR="006031D3">
        <w:t>,</w:t>
      </w:r>
    </w:p>
    <w:p w14:paraId="6ED96214" w14:textId="77777777" w:rsidR="00B449A3" w:rsidRDefault="00F86713" w:rsidP="007D5039">
      <w:pPr>
        <w:numPr>
          <w:ilvl w:val="0"/>
          <w:numId w:val="57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práce, jimiž</w:t>
      </w:r>
      <w:r w:rsidR="00B449A3" w:rsidRPr="00517631">
        <w:rPr>
          <w:rFonts w:cs="Arial"/>
          <w:szCs w:val="20"/>
        </w:rPr>
        <w:t xml:space="preserve"> nejsou </w:t>
      </w:r>
      <w:r w:rsidR="00B449A3">
        <w:rPr>
          <w:rFonts w:cs="Arial"/>
          <w:szCs w:val="20"/>
        </w:rPr>
        <w:t xml:space="preserve">ohroženy </w:t>
      </w:r>
      <w:r w:rsidR="00BB47BF">
        <w:rPr>
          <w:rFonts w:cs="Arial"/>
          <w:szCs w:val="20"/>
        </w:rPr>
        <w:t xml:space="preserve">sousední </w:t>
      </w:r>
      <w:r w:rsidR="00B449A3" w:rsidRPr="00517631">
        <w:rPr>
          <w:rFonts w:cs="Arial"/>
          <w:szCs w:val="20"/>
        </w:rPr>
        <w:t xml:space="preserve"> </w:t>
      </w:r>
      <w:r w:rsidR="00726C35">
        <w:rPr>
          <w:rFonts w:cs="Arial"/>
          <w:szCs w:val="20"/>
        </w:rPr>
        <w:t>objekty</w:t>
      </w:r>
      <w:r w:rsidR="007A7720">
        <w:rPr>
          <w:rFonts w:cs="Arial"/>
          <w:szCs w:val="20"/>
        </w:rPr>
        <w:t>.</w:t>
      </w:r>
    </w:p>
    <w:p w14:paraId="24947F65" w14:textId="77777777" w:rsidR="00DF1EB4" w:rsidRDefault="00E634CB" w:rsidP="007D5039">
      <w:pPr>
        <w:pStyle w:val="Nadpis4"/>
        <w:jc w:val="both"/>
      </w:pPr>
      <w:r>
        <w:t>P</w:t>
      </w:r>
      <w:r w:rsidRPr="003D4AC9">
        <w:t>r</w:t>
      </w:r>
      <w:r>
        <w:t>áce</w:t>
      </w:r>
      <w:r w:rsidRPr="003D4AC9">
        <w:t xml:space="preserve"> prováděn</w:t>
      </w:r>
      <w:r>
        <w:t>é</w:t>
      </w:r>
      <w:r w:rsidRPr="003D4AC9">
        <w:t xml:space="preserve"> v souladu s</w:t>
      </w:r>
      <w:r w:rsidR="00F86713">
        <w:t>e</w:t>
      </w:r>
      <w:r w:rsidRPr="003D4AC9">
        <w:t> </w:t>
      </w:r>
      <w:r w:rsidR="00F86713">
        <w:t>schválenou</w:t>
      </w:r>
      <w:r w:rsidRPr="003D4AC9">
        <w:t xml:space="preserve"> dokumentací</w:t>
      </w:r>
      <w:r w:rsidR="00F86713">
        <w:t xml:space="preserve"> </w:t>
      </w:r>
    </w:p>
    <w:p w14:paraId="6FE80F58" w14:textId="77777777" w:rsidR="00F86713" w:rsidRDefault="00E634CB" w:rsidP="007D5039">
      <w:pPr>
        <w:jc w:val="both"/>
      </w:pPr>
      <w:r w:rsidRPr="004F5871">
        <w:t xml:space="preserve">Jedná se o případy, kdy jsou </w:t>
      </w:r>
      <w:r w:rsidR="009806EB" w:rsidRPr="004F5871">
        <w:t xml:space="preserve">vybrané </w:t>
      </w:r>
      <w:r w:rsidRPr="004F5871">
        <w:t xml:space="preserve">práce a podmínky pro jejich provedení specifikovány v  dokumentaci </w:t>
      </w:r>
      <w:r w:rsidR="00567DD1">
        <w:t xml:space="preserve">schválené Koordinátorem údržby a </w:t>
      </w:r>
      <w:r w:rsidR="006031D3">
        <w:t>OZO</w:t>
      </w:r>
      <w:r w:rsidRPr="004F5871">
        <w:t>. S touto dokumentací musí být</w:t>
      </w:r>
      <w:r w:rsidRPr="003D4AC9">
        <w:t xml:space="preserve"> osoby provádějící tyto práce prokazatelně </w:t>
      </w:r>
      <w:r w:rsidRPr="008527DB">
        <w:t>seznámeny</w:t>
      </w:r>
      <w:r w:rsidR="00E55ECE" w:rsidRPr="008527DB">
        <w:t xml:space="preserve"> před zahájením práce</w:t>
      </w:r>
      <w:r w:rsidRPr="008527DB">
        <w:t>.</w:t>
      </w:r>
      <w:r w:rsidRPr="00C84F0A">
        <w:t xml:space="preserve"> </w:t>
      </w:r>
      <w:r w:rsidR="00CD614B">
        <w:t xml:space="preserve">Seznam schválených dokumentací tvoří Přílohu </w:t>
      </w:r>
      <w:r w:rsidR="00D45418">
        <w:t>D</w:t>
      </w:r>
      <w:r w:rsidR="00CD614B">
        <w:t>.</w:t>
      </w:r>
    </w:p>
    <w:p w14:paraId="34A19203" w14:textId="77777777" w:rsidR="00CB7841" w:rsidRPr="008B50C8" w:rsidRDefault="00EC7E0A" w:rsidP="007D5039">
      <w:pPr>
        <w:pStyle w:val="Nadpis3"/>
        <w:jc w:val="both"/>
      </w:pPr>
      <w:r>
        <w:lastRenderedPageBreak/>
        <w:t>P</w:t>
      </w:r>
      <w:r w:rsidR="00CB7841">
        <w:t>r</w:t>
      </w:r>
      <w:r>
        <w:t>áce</w:t>
      </w:r>
      <w:r w:rsidR="00CB7841">
        <w:t xml:space="preserve"> na písemné povolení k práci (</w:t>
      </w:r>
      <w:proofErr w:type="spellStart"/>
      <w:r w:rsidR="00CB7841">
        <w:t>PkP</w:t>
      </w:r>
      <w:proofErr w:type="spellEnd"/>
      <w:r w:rsidR="00CB7841">
        <w:t>)</w:t>
      </w:r>
    </w:p>
    <w:p w14:paraId="356B5E6C" w14:textId="77777777" w:rsidR="00CB7841" w:rsidRDefault="00CB7841" w:rsidP="007D5039">
      <w:pPr>
        <w:spacing w:after="120"/>
        <w:jc w:val="both"/>
      </w:pPr>
      <w:r w:rsidRPr="000C4465">
        <w:t xml:space="preserve">Ostatní </w:t>
      </w:r>
      <w:r w:rsidR="00E55ECE" w:rsidRPr="000C4465">
        <w:t xml:space="preserve">práce </w:t>
      </w:r>
      <w:r w:rsidRPr="000C4465">
        <w:t xml:space="preserve">neuvedené </w:t>
      </w:r>
      <w:r w:rsidR="00E55ECE" w:rsidRPr="000C4465">
        <w:t xml:space="preserve">v čl. </w:t>
      </w:r>
      <w:r w:rsidR="00CD614B">
        <w:t>4</w:t>
      </w:r>
      <w:r w:rsidR="00F86713">
        <w:t>.</w:t>
      </w:r>
      <w:r w:rsidR="00DF1EB4">
        <w:t>2</w:t>
      </w:r>
      <w:r w:rsidR="00E55ECE" w:rsidRPr="000C4465">
        <w:t xml:space="preserve">.1. a  </w:t>
      </w:r>
      <w:r w:rsidR="00CD614B">
        <w:t>4</w:t>
      </w:r>
      <w:r w:rsidR="00E55ECE" w:rsidRPr="000C4465">
        <w:t>.</w:t>
      </w:r>
      <w:r w:rsidR="00DF1EB4">
        <w:t>2</w:t>
      </w:r>
      <w:r w:rsidR="00E55ECE" w:rsidRPr="000C4465">
        <w:t>.2</w:t>
      </w:r>
      <w:r w:rsidRPr="000C4465">
        <w:t>.</w:t>
      </w:r>
    </w:p>
    <w:p w14:paraId="73122D33" w14:textId="77777777" w:rsidR="000E4D0E" w:rsidRDefault="000E4D0E" w:rsidP="007D5039">
      <w:pPr>
        <w:pStyle w:val="Nadpis3"/>
        <w:jc w:val="both"/>
      </w:pPr>
      <w:r w:rsidRPr="00E1443A">
        <w:t>Kniha</w:t>
      </w:r>
      <w:r>
        <w:t xml:space="preserve"> </w:t>
      </w:r>
      <w:r w:rsidR="001037A9">
        <w:t xml:space="preserve">závad a </w:t>
      </w:r>
      <w:r>
        <w:t>prací</w:t>
      </w:r>
    </w:p>
    <w:p w14:paraId="1B5CE0CF" w14:textId="77777777" w:rsidR="00395069" w:rsidRDefault="00395069" w:rsidP="007D5039">
      <w:pPr>
        <w:jc w:val="both"/>
      </w:pPr>
      <w:r>
        <w:t xml:space="preserve">V knize závad a prací jsou vedeny záznamy o provádění prací v režimu ZP a </w:t>
      </w:r>
      <w:proofErr w:type="spellStart"/>
      <w:r>
        <w:t>PkP</w:t>
      </w:r>
      <w:proofErr w:type="spellEnd"/>
      <w:r>
        <w:t xml:space="preserve"> zhotoviteli na ČS</w:t>
      </w:r>
      <w:r w:rsidR="007A7720">
        <w:t>.</w:t>
      </w:r>
    </w:p>
    <w:p w14:paraId="55293299" w14:textId="77777777" w:rsidR="000E4D0E" w:rsidRPr="000E4D0E" w:rsidRDefault="000E4D0E" w:rsidP="007D5039">
      <w:pPr>
        <w:jc w:val="both"/>
      </w:pPr>
      <w:r>
        <w:t xml:space="preserve">Vzor knihy </w:t>
      </w:r>
      <w:r w:rsidR="00395069">
        <w:t xml:space="preserve">závad a </w:t>
      </w:r>
      <w:r>
        <w:t>prací je uveden v Příloze A</w:t>
      </w:r>
      <w:r w:rsidR="007A7720">
        <w:t>.</w:t>
      </w:r>
    </w:p>
    <w:p w14:paraId="288709C6" w14:textId="77777777" w:rsidR="00795DE9" w:rsidRDefault="00705511" w:rsidP="007D5039">
      <w:pPr>
        <w:pStyle w:val="Nadpis2"/>
        <w:jc w:val="both"/>
      </w:pPr>
      <w:bookmarkStart w:id="12" w:name="_Toc70486837"/>
      <w:r>
        <w:t xml:space="preserve">Postup povolování </w:t>
      </w:r>
      <w:r w:rsidR="00B54201">
        <w:t xml:space="preserve">zapsaných </w:t>
      </w:r>
      <w:r>
        <w:t>p</w:t>
      </w:r>
      <w:r w:rsidR="00795DE9">
        <w:t>r</w:t>
      </w:r>
      <w:r>
        <w:t>ací</w:t>
      </w:r>
      <w:r w:rsidR="00795DE9">
        <w:t xml:space="preserve"> </w:t>
      </w:r>
      <w:r w:rsidR="00EB6247">
        <w:t>(</w:t>
      </w:r>
      <w:r w:rsidR="00B54201">
        <w:t>ZP</w:t>
      </w:r>
      <w:r w:rsidR="00EB6247">
        <w:t>)</w:t>
      </w:r>
      <w:bookmarkEnd w:id="12"/>
    </w:p>
    <w:p w14:paraId="5F8EC3E0" w14:textId="77777777" w:rsidR="004B4586" w:rsidRPr="00C427B6" w:rsidRDefault="00B54201" w:rsidP="007D5039">
      <w:pPr>
        <w:pStyle w:val="Nadpis3-lnek"/>
        <w:jc w:val="both"/>
      </w:pPr>
      <w:r w:rsidRPr="00E1443A">
        <w:t>ZP</w:t>
      </w:r>
      <w:r w:rsidR="00795DE9" w:rsidRPr="00E1443A">
        <w:t xml:space="preserve"> povoluje </w:t>
      </w:r>
      <w:r w:rsidR="00E969B3" w:rsidRPr="00E1443A">
        <w:t>Partner</w:t>
      </w:r>
      <w:r w:rsidR="00BB47BF" w:rsidRPr="00E1443A">
        <w:t xml:space="preserve"> ČS</w:t>
      </w:r>
      <w:r w:rsidR="00795DE9" w:rsidRPr="00E1443A">
        <w:t>.</w:t>
      </w:r>
      <w:r w:rsidR="00EB6247" w:rsidRPr="00E1443A">
        <w:t xml:space="preserve"> </w:t>
      </w:r>
      <w:r w:rsidRPr="00E1443A">
        <w:t>ZP</w:t>
      </w:r>
      <w:r w:rsidR="004D39C0" w:rsidRPr="00E1443A">
        <w:t xml:space="preserve"> se vystavuje </w:t>
      </w:r>
      <w:r w:rsidR="000E4D0E" w:rsidRPr="00C427B6">
        <w:t>zápisem do knihy prací.</w:t>
      </w:r>
      <w:r w:rsidR="004D39C0" w:rsidRPr="00C427B6">
        <w:t xml:space="preserve">  </w:t>
      </w:r>
    </w:p>
    <w:p w14:paraId="02FD4524" w14:textId="77777777" w:rsidR="000E4D0E" w:rsidRPr="00C427B6" w:rsidRDefault="00B54201" w:rsidP="007D5039">
      <w:pPr>
        <w:pStyle w:val="Nadpis3-lnek"/>
        <w:jc w:val="both"/>
      </w:pPr>
      <w:r w:rsidRPr="00C427B6">
        <w:t>ZP</w:t>
      </w:r>
      <w:r w:rsidR="00843C37" w:rsidRPr="00C427B6">
        <w:t xml:space="preserve"> může být povolena </w:t>
      </w:r>
      <w:r w:rsidR="00277E31" w:rsidRPr="00C427B6">
        <w:t>maximálně</w:t>
      </w:r>
      <w:r w:rsidR="00843C37" w:rsidRPr="00C427B6">
        <w:t xml:space="preserve"> na jed</w:t>
      </w:r>
      <w:r w:rsidR="000E4D0E" w:rsidRPr="00C427B6">
        <w:t xml:space="preserve">en </w:t>
      </w:r>
      <w:r w:rsidR="00843C37" w:rsidRPr="00C427B6">
        <w:t xml:space="preserve">pracovní </w:t>
      </w:r>
      <w:r w:rsidR="000E4D0E" w:rsidRPr="00C427B6">
        <w:t>den</w:t>
      </w:r>
      <w:r w:rsidR="00EB6247" w:rsidRPr="00C427B6">
        <w:t xml:space="preserve"> a</w:t>
      </w:r>
      <w:r w:rsidR="00843C37" w:rsidRPr="00C427B6">
        <w:t xml:space="preserve"> nelze </w:t>
      </w:r>
      <w:r w:rsidR="00EB6247" w:rsidRPr="00C427B6">
        <w:t xml:space="preserve">ji </w:t>
      </w:r>
      <w:r w:rsidR="00843C37" w:rsidRPr="00C427B6">
        <w:t>prodloužit.</w:t>
      </w:r>
      <w:r w:rsidR="00EB6247" w:rsidRPr="00C427B6">
        <w:t xml:space="preserve"> V případě </w:t>
      </w:r>
      <w:r w:rsidR="00CB7841" w:rsidRPr="00C427B6">
        <w:t>opuštění pracoviště</w:t>
      </w:r>
      <w:r w:rsidR="00E55ECE" w:rsidRPr="00C427B6">
        <w:t xml:space="preserve"> </w:t>
      </w:r>
      <w:r w:rsidR="00BE413B" w:rsidRPr="00C427B6">
        <w:t xml:space="preserve">všemi osobami na dobu delší než 60 minut </w:t>
      </w:r>
      <w:r w:rsidR="00E55ECE" w:rsidRPr="00C427B6">
        <w:t>nebo při dokončení práce</w:t>
      </w:r>
      <w:r w:rsidR="00E958AA" w:rsidRPr="00C427B6">
        <w:t>,</w:t>
      </w:r>
      <w:r w:rsidR="00CB7841" w:rsidRPr="00C427B6">
        <w:t xml:space="preserve"> je </w:t>
      </w:r>
      <w:r w:rsidR="00BB47BF" w:rsidRPr="00C427B6">
        <w:t>Příjemc</w:t>
      </w:r>
      <w:r w:rsidR="00CB7841" w:rsidRPr="00C427B6">
        <w:t xml:space="preserve">e povinen </w:t>
      </w:r>
      <w:r w:rsidRPr="00C427B6">
        <w:t>ZP</w:t>
      </w:r>
      <w:r w:rsidR="00CB7841" w:rsidRPr="00C427B6">
        <w:t xml:space="preserve"> </w:t>
      </w:r>
      <w:r w:rsidR="00546204" w:rsidRPr="00C427B6">
        <w:t xml:space="preserve">vždy řádně </w:t>
      </w:r>
      <w:r w:rsidR="00CB7841" w:rsidRPr="00C427B6">
        <w:t>ukončit</w:t>
      </w:r>
      <w:r w:rsidR="00546204" w:rsidRPr="00C427B6">
        <w:t>. Při opětovném příchodu se vystavuje nov</w:t>
      </w:r>
      <w:r w:rsidR="0065486D" w:rsidRPr="00C427B6">
        <w:t xml:space="preserve">é </w:t>
      </w:r>
      <w:r w:rsidR="009C0191" w:rsidRPr="00C427B6">
        <w:t xml:space="preserve">povolení k </w:t>
      </w:r>
      <w:r w:rsidRPr="00C427B6">
        <w:t>ZP</w:t>
      </w:r>
      <w:r w:rsidR="00546204" w:rsidRPr="00C427B6">
        <w:t>.</w:t>
      </w:r>
      <w:r w:rsidR="00E55ECE" w:rsidRPr="00C427B6">
        <w:t xml:space="preserve"> </w:t>
      </w:r>
    </w:p>
    <w:p w14:paraId="4952249C" w14:textId="5DB2434F" w:rsidR="00C72064" w:rsidRPr="00C427B6" w:rsidRDefault="009C0191" w:rsidP="007D5039">
      <w:pPr>
        <w:pStyle w:val="Nadpis3-lnek"/>
        <w:jc w:val="both"/>
      </w:pPr>
      <w:r w:rsidRPr="00C427B6">
        <w:t xml:space="preserve">Povolení k </w:t>
      </w:r>
      <w:r w:rsidR="00B54201" w:rsidRPr="00C427B6">
        <w:t>ZP</w:t>
      </w:r>
      <w:r w:rsidR="00C72064" w:rsidRPr="00C427B6">
        <w:t xml:space="preserve"> se archivuje po dobu 1 roku od ukončení práce. V případě vzniku mimořádné události při provádění práce (např. úraz, požár, výbuch a havárie) povolení archivuje po dobu 5 let </w:t>
      </w:r>
      <w:r w:rsidR="00515207">
        <w:t>OBPR</w:t>
      </w:r>
      <w:r w:rsidR="00E55ECE" w:rsidRPr="00C427B6">
        <w:t>, jako součást dokumentace z vyšetřování mimořádné události.</w:t>
      </w:r>
    </w:p>
    <w:p w14:paraId="6F5346CB" w14:textId="77777777" w:rsidR="00001E95" w:rsidRPr="00115AF0" w:rsidRDefault="00E233CD" w:rsidP="007D5039">
      <w:pPr>
        <w:pStyle w:val="Nadpis2"/>
        <w:jc w:val="both"/>
      </w:pPr>
      <w:bookmarkStart w:id="13" w:name="_Toc70486838"/>
      <w:r>
        <w:t>Postup povolování prací na p</w:t>
      </w:r>
      <w:r w:rsidR="00001E95" w:rsidRPr="00115AF0">
        <w:t xml:space="preserve">ísemné </w:t>
      </w:r>
      <w:r w:rsidR="00001E95">
        <w:t>povolení k</w:t>
      </w:r>
      <w:r w:rsidR="00DE0D7D">
        <w:t> </w:t>
      </w:r>
      <w:r w:rsidR="00001E95">
        <w:t>práci</w:t>
      </w:r>
      <w:r w:rsidR="00DE0D7D">
        <w:t xml:space="preserve"> (</w:t>
      </w:r>
      <w:proofErr w:type="spellStart"/>
      <w:r w:rsidR="00DE0D7D">
        <w:t>PkP</w:t>
      </w:r>
      <w:proofErr w:type="spellEnd"/>
      <w:r w:rsidR="00DE0D7D">
        <w:t>)</w:t>
      </w:r>
      <w:bookmarkEnd w:id="13"/>
    </w:p>
    <w:p w14:paraId="68CFCD95" w14:textId="77777777" w:rsidR="001D6E3C" w:rsidRDefault="00DE0D7D" w:rsidP="007D5039">
      <w:pPr>
        <w:pStyle w:val="Nadpis3-lnek"/>
        <w:jc w:val="both"/>
      </w:pPr>
      <w:proofErr w:type="spellStart"/>
      <w:r w:rsidRPr="004B4586">
        <w:t>PkP</w:t>
      </w:r>
      <w:proofErr w:type="spellEnd"/>
      <w:r w:rsidR="00DB43AB" w:rsidRPr="004B4586">
        <w:t xml:space="preserve"> vystavuje </w:t>
      </w:r>
      <w:r w:rsidR="002D4FEB">
        <w:t>Vystavovatel</w:t>
      </w:r>
      <w:r w:rsidR="00C66665" w:rsidRPr="004B4586">
        <w:t xml:space="preserve"> ve spolupráci s </w:t>
      </w:r>
      <w:r w:rsidR="00BB47BF">
        <w:t>Příjemc</w:t>
      </w:r>
      <w:r w:rsidR="00C66665" w:rsidRPr="004B4586">
        <w:t xml:space="preserve">em, popř. s dalšími </w:t>
      </w:r>
      <w:r w:rsidR="008F0196" w:rsidRPr="004B4586">
        <w:t xml:space="preserve">přizvanými </w:t>
      </w:r>
      <w:r w:rsidR="00C66665" w:rsidRPr="004B4586">
        <w:t xml:space="preserve">účastníky povolovacího řízení. </w:t>
      </w:r>
      <w:proofErr w:type="spellStart"/>
      <w:r w:rsidR="004D39C0" w:rsidRPr="004B4586">
        <w:t>PkP</w:t>
      </w:r>
      <w:proofErr w:type="spellEnd"/>
      <w:r w:rsidR="004D39C0" w:rsidRPr="004B4586">
        <w:t xml:space="preserve"> se vystavuje </w:t>
      </w:r>
      <w:r w:rsidR="004B4586" w:rsidRPr="004B4586">
        <w:t>p</w:t>
      </w:r>
      <w:r w:rsidR="00C34630" w:rsidRPr="004B4586">
        <w:t xml:space="preserve">ísemně </w:t>
      </w:r>
      <w:r w:rsidR="001D6E3C">
        <w:t xml:space="preserve">na formulář uvedený v Příloze B </w:t>
      </w:r>
      <w:r w:rsidR="00BF539E" w:rsidRPr="004B4586">
        <w:t xml:space="preserve">vždy </w:t>
      </w:r>
      <w:r w:rsidR="00001E95" w:rsidRPr="004B4586">
        <w:t xml:space="preserve">ve dvou vyhotoveních. </w:t>
      </w:r>
      <w:r w:rsidR="006B6B03" w:rsidRPr="004B4586">
        <w:t xml:space="preserve">Jedno vyhotovení obdrží </w:t>
      </w:r>
      <w:r w:rsidR="00BB47BF">
        <w:t>Příjemc</w:t>
      </w:r>
      <w:r w:rsidR="006B6B03" w:rsidRPr="004B4586">
        <w:t xml:space="preserve">e, druhé zůstává </w:t>
      </w:r>
      <w:r w:rsidR="002D4FEB">
        <w:t>Vystavovatel</w:t>
      </w:r>
      <w:r w:rsidR="006B6B03" w:rsidRPr="004B4586">
        <w:t>i.</w:t>
      </w:r>
      <w:r w:rsidR="00A75CEC">
        <w:t xml:space="preserve"> Jakákoli změna v průběhu platnosti </w:t>
      </w:r>
      <w:proofErr w:type="spellStart"/>
      <w:r w:rsidR="00A75CEC">
        <w:t>PkP</w:t>
      </w:r>
      <w:proofErr w:type="spellEnd"/>
      <w:r w:rsidR="00A75CEC">
        <w:t xml:space="preserve"> musí být provedena shodně v obou vyhotoveních. </w:t>
      </w:r>
      <w:r w:rsidR="00BB38CC" w:rsidRPr="004B4586">
        <w:t xml:space="preserve">Bližší specifikace </w:t>
      </w:r>
      <w:r w:rsidR="00A75CEC">
        <w:t>způsobu vyplňování</w:t>
      </w:r>
      <w:r w:rsidR="00705511" w:rsidRPr="004B4586">
        <w:t xml:space="preserve"> </w:t>
      </w:r>
      <w:r w:rsidR="00BB38CC" w:rsidRPr="004B4586">
        <w:t xml:space="preserve">formuláře </w:t>
      </w:r>
      <w:proofErr w:type="spellStart"/>
      <w:r w:rsidR="00BB38CC" w:rsidRPr="004B4586">
        <w:t>P</w:t>
      </w:r>
      <w:r w:rsidR="006076C3" w:rsidRPr="004B4586">
        <w:t>kP</w:t>
      </w:r>
      <w:proofErr w:type="spellEnd"/>
      <w:r w:rsidR="00BB38CC" w:rsidRPr="004B4586">
        <w:t xml:space="preserve"> je uvedena v</w:t>
      </w:r>
      <w:r w:rsidR="00A75CEC">
        <w:t> </w:t>
      </w:r>
      <w:r w:rsidR="00BB38CC" w:rsidRPr="004B4586">
        <w:t>příloze</w:t>
      </w:r>
      <w:r w:rsidR="00A75CEC">
        <w:t xml:space="preserve"> E</w:t>
      </w:r>
      <w:r w:rsidR="004B4586">
        <w:t>.</w:t>
      </w:r>
    </w:p>
    <w:p w14:paraId="070EC671" w14:textId="77777777" w:rsidR="00DC7152" w:rsidRPr="0073742D" w:rsidRDefault="00DC7152" w:rsidP="007D5039">
      <w:pPr>
        <w:pStyle w:val="Nadpis3-lnek"/>
        <w:jc w:val="both"/>
      </w:pPr>
      <w:r>
        <w:t xml:space="preserve">Obě vyhotovení </w:t>
      </w:r>
      <w:proofErr w:type="spellStart"/>
      <w:r w:rsidR="001D6E3C" w:rsidRPr="00DC7152">
        <w:t>PkP</w:t>
      </w:r>
      <w:proofErr w:type="spellEnd"/>
      <w:r w:rsidR="001D6E3C" w:rsidRPr="00DC7152">
        <w:t xml:space="preserve"> musí být označen</w:t>
      </w:r>
      <w:r>
        <w:t xml:space="preserve">a </w:t>
      </w:r>
      <w:r w:rsidR="00395069">
        <w:t xml:space="preserve">jedinečným a </w:t>
      </w:r>
      <w:r>
        <w:t>shodným</w:t>
      </w:r>
      <w:r w:rsidR="001D6E3C" w:rsidRPr="00DC7152">
        <w:t xml:space="preserve"> evidenčním číslem</w:t>
      </w:r>
      <w:r w:rsidR="00A2411D">
        <w:t>,</w:t>
      </w:r>
      <w:r w:rsidR="001D6E3C" w:rsidRPr="00DC7152">
        <w:t xml:space="preserve"> </w:t>
      </w:r>
      <w:r w:rsidR="00395069">
        <w:t xml:space="preserve">např. </w:t>
      </w:r>
      <w:r w:rsidR="001D6E3C" w:rsidRPr="00DC7152">
        <w:t xml:space="preserve">ve tvaru: číslo ČS – rok – pořadové číslo </w:t>
      </w:r>
      <w:proofErr w:type="spellStart"/>
      <w:r w:rsidR="001D6E3C" w:rsidRPr="00DC7152">
        <w:t>PkP</w:t>
      </w:r>
      <w:proofErr w:type="spellEnd"/>
      <w:r w:rsidR="00FE160A">
        <w:t xml:space="preserve"> – vlastní kód </w:t>
      </w:r>
      <w:r w:rsidR="002D4FEB">
        <w:t>Vystavovatel</w:t>
      </w:r>
      <w:r w:rsidR="00FE160A">
        <w:t>e</w:t>
      </w:r>
      <w:r w:rsidR="00395069" w:rsidRPr="00395069">
        <w:t>(</w:t>
      </w:r>
      <w:r w:rsidRPr="00033443">
        <w:t>999-</w:t>
      </w:r>
      <w:r w:rsidR="00395069" w:rsidRPr="00033443">
        <w:t>20</w:t>
      </w:r>
      <w:r w:rsidRPr="00033443">
        <w:t>-01</w:t>
      </w:r>
      <w:r w:rsidR="00FE160A" w:rsidRPr="00033443">
        <w:t>-XY</w:t>
      </w:r>
      <w:r w:rsidR="00395069" w:rsidRPr="00033443">
        <w:t>)</w:t>
      </w:r>
      <w:r w:rsidR="00A2411D">
        <w:t>.</w:t>
      </w:r>
    </w:p>
    <w:p w14:paraId="5CDF9373" w14:textId="77777777" w:rsidR="000E4D0E" w:rsidRPr="001D6E3C" w:rsidRDefault="000E4D0E" w:rsidP="007D5039">
      <w:pPr>
        <w:pStyle w:val="Nadpis3-lnek"/>
        <w:jc w:val="both"/>
      </w:pPr>
      <w:r>
        <w:t xml:space="preserve">Každá práce na </w:t>
      </w:r>
      <w:proofErr w:type="spellStart"/>
      <w:r>
        <w:t>PkP</w:t>
      </w:r>
      <w:proofErr w:type="spellEnd"/>
      <w:r>
        <w:t xml:space="preserve"> musí být zaznamená</w:t>
      </w:r>
      <w:r w:rsidR="00395069">
        <w:t>vá</w:t>
      </w:r>
      <w:r>
        <w:t xml:space="preserve">na denně v knize </w:t>
      </w:r>
      <w:r w:rsidR="00395069">
        <w:t xml:space="preserve">závad a </w:t>
      </w:r>
      <w:r>
        <w:t xml:space="preserve">prací. </w:t>
      </w:r>
    </w:p>
    <w:p w14:paraId="082877AD" w14:textId="77777777" w:rsidR="00521CE9" w:rsidRDefault="001D6E3C" w:rsidP="007D5039">
      <w:pPr>
        <w:pStyle w:val="Nadpis3-lnek"/>
        <w:jc w:val="both"/>
      </w:pPr>
      <w:r w:rsidRPr="00DC7152">
        <w:t xml:space="preserve">Vyhotovení </w:t>
      </w:r>
      <w:proofErr w:type="spellStart"/>
      <w:r w:rsidR="006B6B03" w:rsidRPr="00DC7152">
        <w:t>PkP</w:t>
      </w:r>
      <w:proofErr w:type="spellEnd"/>
      <w:r w:rsidRPr="00DC7152">
        <w:t xml:space="preserve"> pro</w:t>
      </w:r>
      <w:r w:rsidR="006B6B03" w:rsidRPr="00DC7152">
        <w:t xml:space="preserve"> </w:t>
      </w:r>
      <w:r w:rsidR="00BB47BF">
        <w:t>Příjemc</w:t>
      </w:r>
      <w:r w:rsidR="006B6B03" w:rsidRPr="00DC7152">
        <w:t>e</w:t>
      </w:r>
      <w:r w:rsidR="00001E95" w:rsidRPr="00DC7152">
        <w:t xml:space="preserve"> musí být dostupn</w:t>
      </w:r>
      <w:r w:rsidR="006B6B03" w:rsidRPr="00DC7152">
        <w:t>é</w:t>
      </w:r>
      <w:r w:rsidR="00001E95" w:rsidRPr="00DC7152">
        <w:t xml:space="preserve"> v místě provádění prací a to po celou dobu jejich</w:t>
      </w:r>
      <w:r w:rsidR="00001E95" w:rsidRPr="0074441D">
        <w:t xml:space="preserve"> provádění. Po ukončení </w:t>
      </w:r>
      <w:r w:rsidR="006031D3">
        <w:t xml:space="preserve">platnosti </w:t>
      </w:r>
      <w:proofErr w:type="spellStart"/>
      <w:r w:rsidR="00DE0D7D">
        <w:t>PkP</w:t>
      </w:r>
      <w:proofErr w:type="spellEnd"/>
      <w:r w:rsidR="00001E95" w:rsidRPr="0074441D">
        <w:t xml:space="preserve"> zůstává </w:t>
      </w:r>
      <w:r w:rsidR="006B6B03">
        <w:t>toto vyhotovení</w:t>
      </w:r>
      <w:r w:rsidR="00001E95" w:rsidRPr="0074441D">
        <w:t xml:space="preserve"> </w:t>
      </w:r>
      <w:r w:rsidR="00BB47BF">
        <w:t>Příjemc</w:t>
      </w:r>
      <w:r w:rsidR="00001E95" w:rsidRPr="0074441D">
        <w:t>i.</w:t>
      </w:r>
    </w:p>
    <w:p w14:paraId="1383D39C" w14:textId="77777777" w:rsidR="00A54DF1" w:rsidRDefault="00CE2025" w:rsidP="007D5039">
      <w:pPr>
        <w:pStyle w:val="Nadpis3-lnek"/>
        <w:jc w:val="both"/>
      </w:pPr>
      <w:r w:rsidRPr="0074441D">
        <w:t xml:space="preserve">Povolení se vystavuje </w:t>
      </w:r>
      <w:r w:rsidR="001D6E3C">
        <w:t>na dobu nezbytně nutnou k provedení prací nejvýše však na</w:t>
      </w:r>
      <w:r w:rsidRPr="0074441D">
        <w:t xml:space="preserve"> </w:t>
      </w:r>
      <w:r w:rsidR="00395069">
        <w:t>30</w:t>
      </w:r>
      <w:r w:rsidR="00395069" w:rsidRPr="0074441D">
        <w:t xml:space="preserve"> </w:t>
      </w:r>
      <w:r>
        <w:t xml:space="preserve">po sobě </w:t>
      </w:r>
      <w:r w:rsidRPr="00397B05">
        <w:t xml:space="preserve">jdoucích kalendářních dnů, včetně dne vystavení. </w:t>
      </w:r>
      <w:r w:rsidR="001D6E3C">
        <w:t>Během doby platnosti nesmí dojít</w:t>
      </w:r>
      <w:r w:rsidR="00C66665" w:rsidRPr="00FF3947">
        <w:rPr>
          <w:bCs/>
        </w:rPr>
        <w:t xml:space="preserve"> ke změně </w:t>
      </w:r>
      <w:r w:rsidR="00E44E83" w:rsidRPr="00FF3947">
        <w:t xml:space="preserve">stanovených </w:t>
      </w:r>
      <w:r w:rsidR="00C66665" w:rsidRPr="00FF3947">
        <w:rPr>
          <w:bCs/>
        </w:rPr>
        <w:t>podmínek</w:t>
      </w:r>
      <w:r w:rsidR="00E44E83" w:rsidRPr="00FF3947">
        <w:t>. V</w:t>
      </w:r>
      <w:r w:rsidR="00E55ECE" w:rsidRPr="00FF3947">
        <w:t> </w:t>
      </w:r>
      <w:r w:rsidR="00E44E83" w:rsidRPr="00FF3947">
        <w:t>případě</w:t>
      </w:r>
      <w:r w:rsidR="00E55ECE" w:rsidRPr="00FF3947">
        <w:t>,</w:t>
      </w:r>
      <w:r w:rsidR="00E44E83" w:rsidRPr="00FF3947">
        <w:t xml:space="preserve"> kdy některé podmínky již nejsou vyžadovány nebo již stanovené</w:t>
      </w:r>
      <w:r w:rsidR="004B475E" w:rsidRPr="00FF3947">
        <w:t xml:space="preserve"> podmínk</w:t>
      </w:r>
      <w:r w:rsidR="00E44E83" w:rsidRPr="00FF3947">
        <w:t>y</w:t>
      </w:r>
      <w:r w:rsidR="004B475E" w:rsidRPr="00FF3947">
        <w:t xml:space="preserve"> byly nahrazeny </w:t>
      </w:r>
      <w:r w:rsidR="00671615" w:rsidRPr="00FF3947">
        <w:t>jiným</w:t>
      </w:r>
      <w:r w:rsidR="004B475E" w:rsidRPr="00FF3947">
        <w:t xml:space="preserve"> účinným opatřením</w:t>
      </w:r>
      <w:r w:rsidR="00E44E83" w:rsidRPr="00FF3947">
        <w:t xml:space="preserve">, </w:t>
      </w:r>
      <w:r w:rsidR="001D6E3C">
        <w:t>zůstáv</w:t>
      </w:r>
      <w:r w:rsidR="006031D3">
        <w:t>á</w:t>
      </w:r>
      <w:r w:rsidR="001D6E3C">
        <w:t xml:space="preserve"> povolení v platnosti</w:t>
      </w:r>
      <w:r w:rsidR="00E44E83" w:rsidRPr="00FF3947">
        <w:t xml:space="preserve"> za předpokladu, že t</w:t>
      </w:r>
      <w:r w:rsidR="00FC5207" w:rsidRPr="00FF3947">
        <w:t xml:space="preserve">ato skutečnost </w:t>
      </w:r>
      <w:r w:rsidR="00E44E83" w:rsidRPr="00FF3947">
        <w:t xml:space="preserve">bude </w:t>
      </w:r>
      <w:r w:rsidR="00FC5207" w:rsidRPr="00FF3947">
        <w:t>zaznamenána v</w:t>
      </w:r>
      <w:r w:rsidR="00E67648" w:rsidRPr="00FF3947">
        <w:t> obou vyhotovení</w:t>
      </w:r>
      <w:r w:rsidR="004B4586">
        <w:t>ch</w:t>
      </w:r>
      <w:r w:rsidR="00A54DF1" w:rsidRPr="00FF3947">
        <w:t xml:space="preserve"> formulář</w:t>
      </w:r>
      <w:r w:rsidR="00E67648" w:rsidRPr="00FF3947">
        <w:t>e</w:t>
      </w:r>
      <w:r w:rsidR="00FC5207" w:rsidRPr="00FF3947">
        <w:t xml:space="preserve"> </w:t>
      </w:r>
      <w:proofErr w:type="spellStart"/>
      <w:r w:rsidR="00DE0D7D" w:rsidRPr="00FF3947">
        <w:t>PkP</w:t>
      </w:r>
      <w:proofErr w:type="spellEnd"/>
      <w:r w:rsidR="006175C8" w:rsidRPr="00FF3947">
        <w:t>.</w:t>
      </w:r>
      <w:r w:rsidR="00546204" w:rsidRPr="00FF3947">
        <w:t xml:space="preserve"> </w:t>
      </w:r>
      <w:r w:rsidR="00A54DF1" w:rsidRPr="00FF3947">
        <w:t>U záznamu musí být uvede</w:t>
      </w:r>
      <w:r w:rsidR="00CA4596" w:rsidRPr="00FF3947">
        <w:t xml:space="preserve">n datum a podpis </w:t>
      </w:r>
      <w:r w:rsidR="002D4FEB">
        <w:t>Vystavovatel</w:t>
      </w:r>
      <w:r w:rsidR="00CA4596" w:rsidRPr="00FF3947">
        <w:t>e, který změnu ve formuláři provedl.</w:t>
      </w:r>
    </w:p>
    <w:p w14:paraId="4359BE25" w14:textId="77777777" w:rsidR="004B4586" w:rsidRDefault="00546204" w:rsidP="007D5039">
      <w:pPr>
        <w:pStyle w:val="Nadpis3-lnek"/>
        <w:jc w:val="both"/>
      </w:pPr>
      <w:r w:rsidRPr="004B4586">
        <w:t xml:space="preserve">Po dokončení prací </w:t>
      </w:r>
      <w:r w:rsidR="00CA4596" w:rsidRPr="004B4586">
        <w:t xml:space="preserve">nebo po uplynutí maximální platnosti </w:t>
      </w:r>
      <w:proofErr w:type="spellStart"/>
      <w:r w:rsidR="00CA4596" w:rsidRPr="004B4586">
        <w:t>PkP</w:t>
      </w:r>
      <w:proofErr w:type="spellEnd"/>
      <w:r w:rsidR="00CA4596" w:rsidRPr="004B4586">
        <w:t xml:space="preserve"> </w:t>
      </w:r>
      <w:r w:rsidRPr="004B4586">
        <w:t xml:space="preserve">musí </w:t>
      </w:r>
      <w:r w:rsidR="00BB47BF">
        <w:t>Příjemc</w:t>
      </w:r>
      <w:r w:rsidRPr="004B4586">
        <w:t xml:space="preserve">e </w:t>
      </w:r>
      <w:proofErr w:type="spellStart"/>
      <w:r w:rsidRPr="004B4586">
        <w:t>PkP</w:t>
      </w:r>
      <w:proofErr w:type="spellEnd"/>
      <w:r w:rsidRPr="004B4586">
        <w:t xml:space="preserve"> vždy řádně ukončit.</w:t>
      </w:r>
      <w:r w:rsidR="004D39C0" w:rsidRPr="004B4586">
        <w:t xml:space="preserve"> </w:t>
      </w:r>
    </w:p>
    <w:p w14:paraId="64E06D4D" w14:textId="1ACD237D" w:rsidR="00D37A42" w:rsidRPr="004B4586" w:rsidRDefault="00DE0D7D" w:rsidP="007D5039">
      <w:pPr>
        <w:pStyle w:val="Nadpis3-lnek"/>
        <w:jc w:val="both"/>
      </w:pPr>
      <w:proofErr w:type="spellStart"/>
      <w:r w:rsidRPr="004B4586">
        <w:t>PkP</w:t>
      </w:r>
      <w:proofErr w:type="spellEnd"/>
      <w:r w:rsidR="008A0E03" w:rsidRPr="004B4586">
        <w:t xml:space="preserve"> se</w:t>
      </w:r>
      <w:r w:rsidR="00001E95" w:rsidRPr="004B4586">
        <w:t xml:space="preserve"> archivuje po dobu 1 roku od ukončení práce. V případě vzniku mimořádné události při provádění práce (např. úraz, požár, výbuch a havárie), </w:t>
      </w:r>
      <w:r w:rsidR="008A0E03" w:rsidRPr="004B4586">
        <w:t>povolení</w:t>
      </w:r>
      <w:r w:rsidR="00001E95" w:rsidRPr="004B4586">
        <w:t xml:space="preserve"> archivuje po dobu 5 let</w:t>
      </w:r>
      <w:r w:rsidR="008A0E03" w:rsidRPr="004B4586">
        <w:t xml:space="preserve"> </w:t>
      </w:r>
      <w:r w:rsidR="00515207">
        <w:t>OBPR</w:t>
      </w:r>
      <w:r w:rsidR="00E55ECE" w:rsidRPr="004B4586">
        <w:t>, jako součást dokumentace z vyšetřování mimořádné události.</w:t>
      </w:r>
    </w:p>
    <w:p w14:paraId="10CE1757" w14:textId="77777777" w:rsidR="00876E54" w:rsidRDefault="00876E54" w:rsidP="007D5039">
      <w:pPr>
        <w:pStyle w:val="Nadpis2"/>
        <w:jc w:val="both"/>
      </w:pPr>
      <w:bookmarkStart w:id="14" w:name="_Toc70486839"/>
      <w:r w:rsidRPr="00C427B6">
        <w:t>Příprava</w:t>
      </w:r>
      <w:r>
        <w:t xml:space="preserve"> pracoviště</w:t>
      </w:r>
      <w:bookmarkEnd w:id="14"/>
    </w:p>
    <w:p w14:paraId="4D621B74" w14:textId="77777777" w:rsidR="00876E54" w:rsidRDefault="002D4FEB" w:rsidP="007D5039">
      <w:pPr>
        <w:pStyle w:val="Nadpis3-lnek"/>
        <w:jc w:val="both"/>
      </w:pPr>
      <w:r>
        <w:t>Vystavovatel</w:t>
      </w:r>
      <w:r w:rsidR="00125DE9" w:rsidRPr="005F1E3C">
        <w:t xml:space="preserve"> stanovuje, zajišťuje a realizuje podmínky ze strany </w:t>
      </w:r>
      <w:r w:rsidR="00AD418C">
        <w:t>ČS</w:t>
      </w:r>
      <w:r w:rsidR="00125DE9" w:rsidRPr="005F1E3C">
        <w:t xml:space="preserve"> pro bezpečné provedení práce.</w:t>
      </w:r>
      <w:r w:rsidR="005F1E3C" w:rsidRPr="005F1E3C">
        <w:t xml:space="preserve"> Nutnou přípravu stanovuje </w:t>
      </w:r>
      <w:r w:rsidR="00F870CF" w:rsidRPr="005F1E3C">
        <w:t>na základě</w:t>
      </w:r>
      <w:r w:rsidR="00B449A3" w:rsidRPr="005F1E3C">
        <w:t xml:space="preserve"> charakteru daného zařízení</w:t>
      </w:r>
      <w:r w:rsidR="00F03E53" w:rsidRPr="005F1E3C">
        <w:t xml:space="preserve"> a</w:t>
      </w:r>
      <w:r w:rsidR="00B449A3" w:rsidRPr="005F1E3C">
        <w:t xml:space="preserve"> identifikace nebezpečí a zhodnocení rizik možného ohrožení života a zdraví osob</w:t>
      </w:r>
      <w:r w:rsidR="00F870CF" w:rsidRPr="005F1E3C">
        <w:t>.</w:t>
      </w:r>
      <w:r w:rsidR="00B449A3" w:rsidRPr="005F1E3C">
        <w:t xml:space="preserve"> </w:t>
      </w:r>
      <w:r w:rsidR="00FB4B81" w:rsidRPr="005F1E3C">
        <w:t xml:space="preserve">Pro vybraná zařízení je rozsah příprav stanoven </w:t>
      </w:r>
      <w:r w:rsidR="00876E54" w:rsidRPr="005F1E3C">
        <w:t>normativní</w:t>
      </w:r>
      <w:r w:rsidR="00FB4B81" w:rsidRPr="005F1E3C">
        <w:t>mi</w:t>
      </w:r>
      <w:r w:rsidR="00876E54" w:rsidRPr="005F1E3C">
        <w:t xml:space="preserve"> a legislativní</w:t>
      </w:r>
      <w:r w:rsidR="00FB4B81" w:rsidRPr="005F1E3C">
        <w:t>mi</w:t>
      </w:r>
      <w:r w:rsidR="00876E54" w:rsidRPr="005F1E3C">
        <w:t xml:space="preserve"> požadavk</w:t>
      </w:r>
      <w:r w:rsidR="00FB4B81" w:rsidRPr="005F1E3C">
        <w:t>y</w:t>
      </w:r>
      <w:r w:rsidR="00F870CF" w:rsidRPr="005F1E3C">
        <w:t xml:space="preserve">, popř. </w:t>
      </w:r>
      <w:r w:rsidR="00AD418C">
        <w:t>Provozním předpisem ČS</w:t>
      </w:r>
      <w:r w:rsidR="00C427B6">
        <w:t>.</w:t>
      </w:r>
    </w:p>
    <w:p w14:paraId="47C4097B" w14:textId="77777777" w:rsidR="005F1E3C" w:rsidRDefault="005F1E3C" w:rsidP="007D5039">
      <w:pPr>
        <w:pStyle w:val="Nadpis3-lnek"/>
        <w:jc w:val="both"/>
      </w:pPr>
      <w:r w:rsidRPr="005F1E3C">
        <w:t>Podle charakteru pracoviště</w:t>
      </w:r>
      <w:r w:rsidR="00CA7A3D">
        <w:t xml:space="preserve"> se</w:t>
      </w:r>
      <w:r w:rsidRPr="005F1E3C">
        <w:t xml:space="preserve"> musí </w:t>
      </w:r>
      <w:r w:rsidR="001159E2">
        <w:t>posoudit nutnost</w:t>
      </w:r>
      <w:r w:rsidRPr="005F1E3C">
        <w:t>:</w:t>
      </w:r>
    </w:p>
    <w:p w14:paraId="46AC9371" w14:textId="77777777" w:rsidR="00946BB3" w:rsidRDefault="00946BB3" w:rsidP="007D5039">
      <w:pPr>
        <w:numPr>
          <w:ilvl w:val="0"/>
          <w:numId w:val="58"/>
        </w:numPr>
        <w:jc w:val="both"/>
      </w:pPr>
      <w:r>
        <w:t>omezení provozu vozidel a pohybu osob</w:t>
      </w:r>
      <w:r w:rsidR="00C427B6">
        <w:t>,</w:t>
      </w:r>
    </w:p>
    <w:p w14:paraId="65A13522" w14:textId="77777777" w:rsidR="005F1E3C" w:rsidRDefault="005F1E3C" w:rsidP="007D5039">
      <w:pPr>
        <w:numPr>
          <w:ilvl w:val="0"/>
          <w:numId w:val="58"/>
        </w:numPr>
        <w:jc w:val="both"/>
      </w:pPr>
      <w:r>
        <w:t>odstav</w:t>
      </w:r>
      <w:r w:rsidR="001159E2">
        <w:t>ení</w:t>
      </w:r>
      <w:r>
        <w:t xml:space="preserve"> zařízení z provozu, </w:t>
      </w:r>
    </w:p>
    <w:p w14:paraId="74804672" w14:textId="77777777" w:rsidR="005F1E3C" w:rsidRDefault="005F1E3C" w:rsidP="007D5039">
      <w:pPr>
        <w:numPr>
          <w:ilvl w:val="0"/>
          <w:numId w:val="58"/>
        </w:numPr>
        <w:jc w:val="both"/>
      </w:pPr>
      <w:r>
        <w:t>vyprázdn</w:t>
      </w:r>
      <w:r w:rsidR="001159E2">
        <w:t>ění</w:t>
      </w:r>
      <w:r>
        <w:t xml:space="preserve"> a vyči</w:t>
      </w:r>
      <w:r w:rsidR="001159E2">
        <w:t>štění</w:t>
      </w:r>
      <w:r>
        <w:t xml:space="preserve"> jeho obsah</w:t>
      </w:r>
      <w:r w:rsidR="00CA7A3D">
        <w:t>u</w:t>
      </w:r>
      <w:r>
        <w:t>,</w:t>
      </w:r>
    </w:p>
    <w:p w14:paraId="781B6F3C" w14:textId="77777777" w:rsidR="005F1E3C" w:rsidRDefault="005F1E3C" w:rsidP="007D5039">
      <w:pPr>
        <w:numPr>
          <w:ilvl w:val="0"/>
          <w:numId w:val="58"/>
        </w:numPr>
        <w:jc w:val="both"/>
      </w:pPr>
      <w:r>
        <w:t>odděl</w:t>
      </w:r>
      <w:r w:rsidR="001159E2">
        <w:t>ení</w:t>
      </w:r>
      <w:r>
        <w:t xml:space="preserve"> části zařízení od přístupu škodlivin nebo od zařízení v provozu,</w:t>
      </w:r>
    </w:p>
    <w:p w14:paraId="4F873952" w14:textId="77777777" w:rsidR="00946BB3" w:rsidRDefault="00946BB3" w:rsidP="007D5039">
      <w:pPr>
        <w:numPr>
          <w:ilvl w:val="0"/>
          <w:numId w:val="58"/>
        </w:numPr>
        <w:jc w:val="both"/>
      </w:pPr>
      <w:r>
        <w:t>o</w:t>
      </w:r>
      <w:r w:rsidR="00A630B9">
        <w:t>dpojení energií nebo médií</w:t>
      </w:r>
      <w:r w:rsidR="00C427B6">
        <w:t>,</w:t>
      </w:r>
    </w:p>
    <w:p w14:paraId="11AEE79E" w14:textId="77777777" w:rsidR="00A630B9" w:rsidRDefault="00946BB3" w:rsidP="007D5039">
      <w:pPr>
        <w:numPr>
          <w:ilvl w:val="0"/>
          <w:numId w:val="58"/>
        </w:numPr>
        <w:jc w:val="both"/>
      </w:pPr>
      <w:r>
        <w:lastRenderedPageBreak/>
        <w:t xml:space="preserve">zajištění el. </w:t>
      </w:r>
      <w:r w:rsidR="00D56953">
        <w:t>z</w:t>
      </w:r>
      <w:r>
        <w:t>ařízení</w:t>
      </w:r>
      <w:r w:rsidR="00C427B6">
        <w:t>.</w:t>
      </w:r>
    </w:p>
    <w:p w14:paraId="7DF8504B" w14:textId="77777777" w:rsidR="00411159" w:rsidRDefault="00FF6D83" w:rsidP="007D5039">
      <w:pPr>
        <w:spacing w:after="120"/>
        <w:ind w:left="709"/>
        <w:jc w:val="both"/>
      </w:pPr>
      <w:r>
        <w:t xml:space="preserve">V případech, kdy nelze realizovat přípravu pracoviště </w:t>
      </w:r>
      <w:r w:rsidR="00CA7A3D">
        <w:t xml:space="preserve">tak, že budou </w:t>
      </w:r>
      <w:r>
        <w:t>elimin</w:t>
      </w:r>
      <w:r w:rsidR="006B00CF">
        <w:t>ována</w:t>
      </w:r>
      <w:r>
        <w:t xml:space="preserve"> rizika možného ohrožení života a zdraví osob, je </w:t>
      </w:r>
      <w:r w:rsidR="002D4FEB">
        <w:t>Vystavovatel</w:t>
      </w:r>
      <w:r>
        <w:t xml:space="preserve"> povinen stanovit další podmínky pro bezpečné provedení prací.</w:t>
      </w:r>
    </w:p>
    <w:p w14:paraId="3A2D3A6B" w14:textId="77777777" w:rsidR="00567E9A" w:rsidRDefault="00E233CD" w:rsidP="007D5039">
      <w:pPr>
        <w:pStyle w:val="Nadpis2"/>
        <w:jc w:val="both"/>
      </w:pPr>
      <w:bookmarkStart w:id="15" w:name="_Toc70486840"/>
      <w:r>
        <w:t>S</w:t>
      </w:r>
      <w:r w:rsidR="00567E9A">
        <w:t xml:space="preserve">tav </w:t>
      </w:r>
      <w:r w:rsidR="00567E9A" w:rsidRPr="00C427B6">
        <w:t>pracoviště</w:t>
      </w:r>
      <w:bookmarkEnd w:id="15"/>
    </w:p>
    <w:p w14:paraId="7426E75F" w14:textId="77777777" w:rsidR="00F870CF" w:rsidRDefault="002D4FEB" w:rsidP="007D5039">
      <w:pPr>
        <w:spacing w:after="120"/>
        <w:jc w:val="both"/>
      </w:pPr>
      <w:r>
        <w:t>Vystavovatel</w:t>
      </w:r>
      <w:r w:rsidR="00F870CF">
        <w:t xml:space="preserve"> informuje </w:t>
      </w:r>
      <w:r w:rsidR="00BB47BF">
        <w:t>Příjemc</w:t>
      </w:r>
      <w:r w:rsidR="00F870CF">
        <w:t xml:space="preserve">e o </w:t>
      </w:r>
      <w:r w:rsidR="0065486D">
        <w:t>aktuálním</w:t>
      </w:r>
      <w:r w:rsidR="00F870CF">
        <w:t xml:space="preserve"> stavu pracoviště z hlediska možného</w:t>
      </w:r>
      <w:r w:rsidR="00A630B9">
        <w:t xml:space="preserve"> ohrožení života a zdraví osob.</w:t>
      </w:r>
    </w:p>
    <w:p w14:paraId="138712D0" w14:textId="77777777" w:rsidR="00141304" w:rsidRDefault="007773BB" w:rsidP="007D5039">
      <w:pPr>
        <w:pStyle w:val="Nadpis2"/>
        <w:jc w:val="both"/>
      </w:pPr>
      <w:bookmarkStart w:id="16" w:name="_Toc70486841"/>
      <w:r>
        <w:t xml:space="preserve">Definice </w:t>
      </w:r>
      <w:r w:rsidR="00737AFC">
        <w:t>prostorů</w:t>
      </w:r>
      <w:bookmarkEnd w:id="16"/>
      <w:r>
        <w:t xml:space="preserve"> </w:t>
      </w:r>
    </w:p>
    <w:p w14:paraId="3FE96D3C" w14:textId="77777777" w:rsidR="00737AFC" w:rsidRPr="0054512D" w:rsidRDefault="00737AFC" w:rsidP="007D5039">
      <w:pPr>
        <w:pStyle w:val="Nadpis3"/>
        <w:jc w:val="both"/>
      </w:pPr>
      <w:r w:rsidRPr="0054512D">
        <w:t xml:space="preserve">Prostor s nebezpečím výbuchu </w:t>
      </w:r>
    </w:p>
    <w:p w14:paraId="79106F0F" w14:textId="77777777" w:rsidR="00737AFC" w:rsidRDefault="00737AFC" w:rsidP="007D503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4B10E5">
        <w:rPr>
          <w:rFonts w:cs="Arial"/>
          <w:szCs w:val="20"/>
        </w:rPr>
        <w:t>rostor klasifikovaný dokumentací o ochraně před výbuchem</w:t>
      </w:r>
      <w:r>
        <w:rPr>
          <w:rFonts w:cs="Arial"/>
          <w:szCs w:val="20"/>
        </w:rPr>
        <w:t xml:space="preserve"> do jednotlivých zón,</w:t>
      </w:r>
      <w:r w:rsidRPr="004B10E5">
        <w:rPr>
          <w:rFonts w:cs="Arial"/>
          <w:szCs w:val="20"/>
        </w:rPr>
        <w:t xml:space="preserve"> na základě četnosti výskytu výbušné atmosféry.</w:t>
      </w:r>
      <w:r>
        <w:rPr>
          <w:rFonts w:cs="Arial"/>
          <w:szCs w:val="20"/>
        </w:rPr>
        <w:t xml:space="preserve"> </w:t>
      </w:r>
    </w:p>
    <w:p w14:paraId="0681919B" w14:textId="77777777" w:rsidR="00737AFC" w:rsidRPr="004B10E5" w:rsidRDefault="00737AFC" w:rsidP="007D5039">
      <w:pPr>
        <w:numPr>
          <w:ilvl w:val="0"/>
          <w:numId w:val="59"/>
        </w:numPr>
        <w:jc w:val="both"/>
      </w:pPr>
      <w:r w:rsidRPr="004B10E5">
        <w:t>výbušná atmosféra je přítomna často, po dlouhou dobu nebo trvale,</w:t>
      </w:r>
    </w:p>
    <w:p w14:paraId="33BBA43A" w14:textId="77777777" w:rsidR="00737AFC" w:rsidRPr="004B10E5" w:rsidRDefault="00737AFC" w:rsidP="007D5039">
      <w:pPr>
        <w:tabs>
          <w:tab w:val="left" w:pos="426"/>
        </w:tabs>
        <w:spacing w:after="120"/>
        <w:ind w:left="1135" w:hanging="426"/>
        <w:jc w:val="both"/>
        <w:rPr>
          <w:rFonts w:cs="Arial"/>
          <w:szCs w:val="20"/>
        </w:rPr>
      </w:pPr>
      <w:r w:rsidRPr="004B10E5">
        <w:rPr>
          <w:rFonts w:cs="Arial"/>
          <w:szCs w:val="20"/>
        </w:rPr>
        <w:t>Zóna 0 - výbušná atmosféra (plyn, pára, mlha)</w:t>
      </w:r>
      <w:r w:rsidR="00AD418C">
        <w:rPr>
          <w:rFonts w:cs="Arial"/>
          <w:szCs w:val="20"/>
        </w:rPr>
        <w:t xml:space="preserve">  - vnitřní prostor palivových a rekuperačních potrubí, vnitřní prostor nádrží.</w:t>
      </w:r>
    </w:p>
    <w:p w14:paraId="40981266" w14:textId="77777777" w:rsidR="00737AFC" w:rsidRPr="004B10E5" w:rsidRDefault="00737AFC" w:rsidP="007D5039">
      <w:pPr>
        <w:numPr>
          <w:ilvl w:val="0"/>
          <w:numId w:val="59"/>
        </w:numPr>
        <w:jc w:val="both"/>
        <w:rPr>
          <w:rFonts w:cs="Arial"/>
          <w:szCs w:val="20"/>
        </w:rPr>
      </w:pPr>
      <w:r w:rsidRPr="004B10E5">
        <w:rPr>
          <w:rFonts w:cs="Arial"/>
          <w:szCs w:val="20"/>
        </w:rPr>
        <w:t>výbušná atmosféra se pravděpodobně občas vyskytne,</w:t>
      </w:r>
    </w:p>
    <w:p w14:paraId="250697EA" w14:textId="77777777" w:rsidR="00737AFC" w:rsidRPr="004B10E5" w:rsidRDefault="00737AFC" w:rsidP="007D5039">
      <w:pPr>
        <w:tabs>
          <w:tab w:val="left" w:pos="426"/>
        </w:tabs>
        <w:spacing w:after="120"/>
        <w:ind w:left="1135" w:hanging="426"/>
        <w:jc w:val="both"/>
        <w:rPr>
          <w:rFonts w:cs="Arial"/>
          <w:szCs w:val="20"/>
        </w:rPr>
      </w:pPr>
      <w:r w:rsidRPr="004B10E5">
        <w:rPr>
          <w:rFonts w:cs="Arial"/>
          <w:szCs w:val="20"/>
        </w:rPr>
        <w:t>Zóna 1 - výbušná atmosféra (plyn, pára, mlha)</w:t>
      </w:r>
      <w:r w:rsidR="00AD418C">
        <w:rPr>
          <w:rFonts w:cs="Arial"/>
          <w:szCs w:val="20"/>
        </w:rPr>
        <w:t xml:space="preserve"> – vnitřní prostor skříně výdejního stojanu kromě měřící a obslužné části, </w:t>
      </w:r>
      <w:r w:rsidR="0006709D">
        <w:rPr>
          <w:rFonts w:cs="Arial"/>
          <w:szCs w:val="20"/>
        </w:rPr>
        <w:t xml:space="preserve">šachty včetně stáčecí a uzavřené prostory kolem nádrží (kobky), </w:t>
      </w:r>
      <w:r w:rsidR="00395069">
        <w:rPr>
          <w:rFonts w:cs="Arial"/>
          <w:szCs w:val="20"/>
        </w:rPr>
        <w:t xml:space="preserve">1,5 </w:t>
      </w:r>
      <w:r w:rsidR="0006709D">
        <w:rPr>
          <w:rFonts w:cs="Arial"/>
          <w:szCs w:val="20"/>
        </w:rPr>
        <w:t>m všemi směry od vyústění odvzdušňovacího potrubí</w:t>
      </w:r>
      <w:r w:rsidR="00536360">
        <w:rPr>
          <w:rFonts w:cs="Arial"/>
          <w:szCs w:val="20"/>
        </w:rPr>
        <w:t xml:space="preserve"> a dále až k zemi</w:t>
      </w:r>
      <w:r w:rsidR="0006709D">
        <w:rPr>
          <w:rFonts w:cs="Arial"/>
          <w:szCs w:val="20"/>
        </w:rPr>
        <w:t xml:space="preserve">, </w:t>
      </w:r>
      <w:r w:rsidR="00395069">
        <w:rPr>
          <w:rFonts w:cs="Arial"/>
          <w:szCs w:val="20"/>
        </w:rPr>
        <w:t xml:space="preserve">1,5 </w:t>
      </w:r>
      <w:r w:rsidR="0006709D">
        <w:rPr>
          <w:rFonts w:cs="Arial"/>
          <w:szCs w:val="20"/>
        </w:rPr>
        <w:t>m vodorovně kolem a 1,5 m nad připojovací hrdlo autocisterny a okraje otevřené stáčecí šachty.</w:t>
      </w:r>
    </w:p>
    <w:p w14:paraId="08FEC314" w14:textId="77777777" w:rsidR="00737AFC" w:rsidRPr="004B10E5" w:rsidRDefault="00737AFC" w:rsidP="007D5039">
      <w:pPr>
        <w:numPr>
          <w:ilvl w:val="0"/>
          <w:numId w:val="59"/>
        </w:numPr>
        <w:jc w:val="both"/>
        <w:rPr>
          <w:rFonts w:cs="Arial"/>
          <w:szCs w:val="20"/>
        </w:rPr>
      </w:pPr>
      <w:r w:rsidRPr="004B10E5">
        <w:rPr>
          <w:rFonts w:cs="Arial"/>
          <w:szCs w:val="20"/>
        </w:rPr>
        <w:t>Vznik výbušné atmosféry je nepravděpodobný (když ano, tak výjimečně a krátkodobě)</w:t>
      </w:r>
    </w:p>
    <w:p w14:paraId="308E8C4A" w14:textId="77777777" w:rsidR="00737AFC" w:rsidRDefault="00737AFC" w:rsidP="007D5039">
      <w:pPr>
        <w:tabs>
          <w:tab w:val="left" w:pos="426"/>
        </w:tabs>
        <w:spacing w:after="120"/>
        <w:ind w:left="1135" w:hanging="426"/>
        <w:jc w:val="both"/>
        <w:rPr>
          <w:rFonts w:cs="Arial"/>
          <w:szCs w:val="20"/>
        </w:rPr>
      </w:pPr>
      <w:r w:rsidRPr="004B10E5">
        <w:rPr>
          <w:rFonts w:cs="Arial"/>
          <w:szCs w:val="20"/>
        </w:rPr>
        <w:t>Zóna 2 - výbušná atmosféra (plyn, pára, mlha)</w:t>
      </w:r>
      <w:r w:rsidR="0006709D">
        <w:rPr>
          <w:rFonts w:cs="Arial"/>
          <w:szCs w:val="20"/>
        </w:rPr>
        <w:t xml:space="preserve"> – 20 cm vodorovně kolem a 5 cm nad skříň výdejního stojanu kromě měřící a obslužné části, </w:t>
      </w:r>
      <w:r w:rsidR="00536360">
        <w:rPr>
          <w:rFonts w:cs="Arial"/>
          <w:szCs w:val="20"/>
        </w:rPr>
        <w:t>1,5 m všemi směry od okraje zóny 1.</w:t>
      </w:r>
    </w:p>
    <w:p w14:paraId="67A8CB4C" w14:textId="77777777" w:rsidR="00536360" w:rsidRDefault="00536360" w:rsidP="007D5039">
      <w:pPr>
        <w:tabs>
          <w:tab w:val="left" w:pos="426"/>
        </w:tabs>
        <w:spacing w:after="120"/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Jednotlivé zóny jsou graficky znázorněny v </w:t>
      </w:r>
      <w:r w:rsidR="00395069">
        <w:rPr>
          <w:rFonts w:cs="Arial"/>
          <w:szCs w:val="20"/>
        </w:rPr>
        <w:t>Dokumentaci na ochranu před výbuchem na každé ČS</w:t>
      </w:r>
      <w:r w:rsidR="00C427B6">
        <w:rPr>
          <w:rFonts w:cs="Arial"/>
          <w:szCs w:val="20"/>
        </w:rPr>
        <w:t>.</w:t>
      </w:r>
    </w:p>
    <w:p w14:paraId="518C0956" w14:textId="77777777" w:rsidR="00536360" w:rsidRDefault="00536360" w:rsidP="007D5039">
      <w:pPr>
        <w:jc w:val="both"/>
      </w:pPr>
      <w:r>
        <w:t>Zóny pro zařízení pro prodej LPG, CNG, příp. dalších alternativních paliv jsou uvedeny v dokumentaci provozovatele tohoto zařízení</w:t>
      </w:r>
      <w:r w:rsidR="00C427B6">
        <w:t>.</w:t>
      </w:r>
    </w:p>
    <w:p w14:paraId="044F0336" w14:textId="77777777" w:rsidR="005039C4" w:rsidRPr="0054512D" w:rsidRDefault="00737AFC" w:rsidP="007D5039">
      <w:pPr>
        <w:pStyle w:val="Nadpis3"/>
        <w:jc w:val="both"/>
      </w:pPr>
      <w:r w:rsidRPr="0054512D">
        <w:t xml:space="preserve">Nebezpečný prostor </w:t>
      </w:r>
      <w:r w:rsidR="005039C4" w:rsidRPr="0054512D">
        <w:t>z hlediska zvýšeného rizika ohrožení zdraví při práci</w:t>
      </w:r>
      <w:r w:rsidR="00521CE9" w:rsidRPr="0054512D">
        <w:t xml:space="preserve"> (dále jen nebezpečný prostor)</w:t>
      </w:r>
    </w:p>
    <w:p w14:paraId="663ACF5C" w14:textId="77777777" w:rsidR="00737AFC" w:rsidRPr="00F43E68" w:rsidRDefault="00737AFC" w:rsidP="007D5039">
      <w:pPr>
        <w:jc w:val="both"/>
        <w:rPr>
          <w:u w:val="single"/>
        </w:rPr>
      </w:pPr>
      <w:r w:rsidRPr="00F43E68">
        <w:rPr>
          <w:u w:val="single"/>
        </w:rPr>
        <w:t xml:space="preserve">Zcela nebo částečně uzavřený prostor nebo prostor pod úrovní terénu, ve kterém hrozí </w:t>
      </w:r>
      <w:r w:rsidR="009F6E4D" w:rsidRPr="00F43E68">
        <w:rPr>
          <w:u w:val="single"/>
        </w:rPr>
        <w:t xml:space="preserve">nejméně </w:t>
      </w:r>
      <w:r w:rsidRPr="00F43E68">
        <w:rPr>
          <w:u w:val="single"/>
        </w:rPr>
        <w:t>jedno z níže uvedených rizik:</w:t>
      </w:r>
    </w:p>
    <w:p w14:paraId="7931E4B8" w14:textId="77777777" w:rsidR="00737AFC" w:rsidRDefault="00056EFA" w:rsidP="007D5039">
      <w:pPr>
        <w:numPr>
          <w:ilvl w:val="0"/>
          <w:numId w:val="60"/>
        </w:numPr>
        <w:jc w:val="both"/>
      </w:pPr>
      <w:r>
        <w:t>n</w:t>
      </w:r>
      <w:r w:rsidR="00737AFC" w:rsidRPr="00267251">
        <w:t>e</w:t>
      </w:r>
      <w:r>
        <w:t>bezpečná koncentrace</w:t>
      </w:r>
      <w:r w:rsidR="00737AFC" w:rsidRPr="00267251">
        <w:t xml:space="preserve"> kyslíku</w:t>
      </w:r>
      <w:r w:rsidR="00737AFC">
        <w:t>,</w:t>
      </w:r>
    </w:p>
    <w:p w14:paraId="0A20610E" w14:textId="77777777" w:rsidR="00737AFC" w:rsidRDefault="00737AFC" w:rsidP="007D5039">
      <w:pPr>
        <w:numPr>
          <w:ilvl w:val="0"/>
          <w:numId w:val="60"/>
        </w:numPr>
        <w:jc w:val="both"/>
      </w:pPr>
      <w:r w:rsidRPr="00267251">
        <w:t>kumulace toxických, vznětlivých nebo výbušných látek</w:t>
      </w:r>
      <w:r>
        <w:t>,</w:t>
      </w:r>
    </w:p>
    <w:p w14:paraId="17381374" w14:textId="77777777" w:rsidR="00521CE9" w:rsidRDefault="00737AFC" w:rsidP="007D5039">
      <w:pPr>
        <w:numPr>
          <w:ilvl w:val="0"/>
          <w:numId w:val="60"/>
        </w:numPr>
        <w:jc w:val="both"/>
      </w:pPr>
      <w:r w:rsidRPr="00267251">
        <w:t>omezen</w:t>
      </w:r>
      <w:r>
        <w:t>ý</w:t>
      </w:r>
      <w:r w:rsidR="00B43FAA">
        <w:t xml:space="preserve"> vstup či výstup,</w:t>
      </w:r>
    </w:p>
    <w:p w14:paraId="5D4F19E9" w14:textId="77777777" w:rsidR="00B43FAA" w:rsidRPr="0080131F" w:rsidRDefault="00B43FAA" w:rsidP="007D5039">
      <w:pPr>
        <w:numPr>
          <w:ilvl w:val="0"/>
          <w:numId w:val="60"/>
        </w:numPr>
        <w:jc w:val="both"/>
      </w:pPr>
      <w:r w:rsidRPr="0080131F">
        <w:t xml:space="preserve">teplota </w:t>
      </w:r>
      <w:r w:rsidR="00687BCA">
        <w:t xml:space="preserve">prostředí </w:t>
      </w:r>
      <w:r w:rsidRPr="0080131F">
        <w:t>nad 60°C.</w:t>
      </w:r>
    </w:p>
    <w:p w14:paraId="3EA1F881" w14:textId="77777777" w:rsidR="00737AFC" w:rsidRPr="00F43E68" w:rsidRDefault="00737AFC" w:rsidP="007D5039">
      <w:pPr>
        <w:jc w:val="both"/>
        <w:rPr>
          <w:u w:val="single"/>
        </w:rPr>
      </w:pPr>
      <w:r w:rsidRPr="00F43E68">
        <w:rPr>
          <w:u w:val="single"/>
        </w:rPr>
        <w:t>Může se jednat o:</w:t>
      </w:r>
    </w:p>
    <w:p w14:paraId="66C7462D" w14:textId="77777777" w:rsidR="00737AFC" w:rsidRDefault="00687BCA" w:rsidP="007D5039">
      <w:pPr>
        <w:numPr>
          <w:ilvl w:val="0"/>
          <w:numId w:val="61"/>
        </w:numPr>
        <w:jc w:val="both"/>
      </w:pPr>
      <w:r>
        <w:t>vnitřní prostor nádrží, šachty včetně stáčecí.</w:t>
      </w:r>
    </w:p>
    <w:p w14:paraId="05DC19F9" w14:textId="77777777" w:rsidR="00737AFC" w:rsidRDefault="00737AFC" w:rsidP="007D5039">
      <w:pPr>
        <w:numPr>
          <w:ilvl w:val="0"/>
          <w:numId w:val="61"/>
        </w:numPr>
        <w:jc w:val="both"/>
      </w:pPr>
      <w:r>
        <w:t xml:space="preserve">průmyslová, </w:t>
      </w:r>
      <w:r w:rsidRPr="00267251">
        <w:t>dešťov</w:t>
      </w:r>
      <w:r>
        <w:t>á,</w:t>
      </w:r>
      <w:r w:rsidRPr="00267251">
        <w:t xml:space="preserve"> splaškov</w:t>
      </w:r>
      <w:r>
        <w:t>á a vodovodní síť</w:t>
      </w:r>
      <w:r w:rsidRPr="00267251">
        <w:t>,</w:t>
      </w:r>
      <w:r>
        <w:t xml:space="preserve"> jímky odpadních vod, čističky, septiky, kanály,</w:t>
      </w:r>
    </w:p>
    <w:p w14:paraId="67DD0EF7" w14:textId="77777777" w:rsidR="00737AFC" w:rsidRDefault="00737AFC" w:rsidP="007D5039">
      <w:pPr>
        <w:numPr>
          <w:ilvl w:val="0"/>
          <w:numId w:val="61"/>
        </w:numPr>
        <w:jc w:val="both"/>
      </w:pPr>
      <w:r w:rsidRPr="00267251">
        <w:t>podzemní šacht</w:t>
      </w:r>
      <w:r>
        <w:t>y</w:t>
      </w:r>
      <w:r w:rsidRPr="00267251">
        <w:t>, kabelov</w:t>
      </w:r>
      <w:r>
        <w:t>é</w:t>
      </w:r>
      <w:r w:rsidRPr="00267251">
        <w:t xml:space="preserve"> kanál</w:t>
      </w:r>
      <w:r>
        <w:t>y</w:t>
      </w:r>
      <w:r w:rsidR="0008259C">
        <w:t>,</w:t>
      </w:r>
    </w:p>
    <w:p w14:paraId="26940BB3" w14:textId="77777777" w:rsidR="00737AFC" w:rsidRDefault="00737AFC" w:rsidP="007D5039">
      <w:pPr>
        <w:numPr>
          <w:ilvl w:val="0"/>
          <w:numId w:val="61"/>
        </w:numPr>
        <w:jc w:val="both"/>
      </w:pPr>
      <w:r>
        <w:t>výkopy, apod.</w:t>
      </w:r>
    </w:p>
    <w:p w14:paraId="18919012" w14:textId="77777777" w:rsidR="00F7040C" w:rsidRDefault="00F7040C" w:rsidP="007D5039">
      <w:pPr>
        <w:pStyle w:val="Nadpis3"/>
        <w:jc w:val="both"/>
      </w:pPr>
      <w:r>
        <w:t>Prostor s provozem vozidel / veřejnosti</w:t>
      </w:r>
    </w:p>
    <w:p w14:paraId="2350C54D" w14:textId="77777777" w:rsidR="00F7040C" w:rsidRDefault="00F7040C" w:rsidP="007D5039">
      <w:pPr>
        <w:jc w:val="both"/>
      </w:pPr>
      <w:r>
        <w:t>Plochy ČS, kde může nastat riziko střetu osoby s vozidlem, nebo může dojít k ohrožení procházejících osob prováděnou činností</w:t>
      </w:r>
      <w:r w:rsidR="00C427B6">
        <w:t>:</w:t>
      </w:r>
    </w:p>
    <w:p w14:paraId="6CADEEBD" w14:textId="77777777" w:rsidR="00F7040C" w:rsidRDefault="00F7040C" w:rsidP="007D5039">
      <w:pPr>
        <w:numPr>
          <w:ilvl w:val="0"/>
          <w:numId w:val="62"/>
        </w:numPr>
        <w:jc w:val="both"/>
      </w:pPr>
      <w:r>
        <w:t>Příjezdová a výjezdová komunikace</w:t>
      </w:r>
      <w:r w:rsidR="00C427B6">
        <w:t>.</w:t>
      </w:r>
    </w:p>
    <w:p w14:paraId="77CFCC23" w14:textId="4AD73A91" w:rsidR="00600AA0" w:rsidRDefault="00600AA0" w:rsidP="007D5039">
      <w:pPr>
        <w:numPr>
          <w:ilvl w:val="0"/>
          <w:numId w:val="62"/>
        </w:numPr>
        <w:jc w:val="both"/>
      </w:pPr>
      <w:r>
        <w:lastRenderedPageBreak/>
        <w:t>Výdejní a stáčecí místa</w:t>
      </w:r>
      <w:r w:rsidR="00F7040C">
        <w:t xml:space="preserve"> </w:t>
      </w:r>
      <w:r w:rsidR="00AF687B">
        <w:t>pohonných hmot</w:t>
      </w:r>
      <w:r w:rsidR="00F7040C">
        <w:t xml:space="preserve">, LPG, CNG, </w:t>
      </w:r>
      <w:r>
        <w:t>LNG, Vodíku, Ad Blue, náplní do ostřikovačů a manipulační plochy kolem nich</w:t>
      </w:r>
    </w:p>
    <w:p w14:paraId="4394AE88" w14:textId="4E59C8FF" w:rsidR="00600AA0" w:rsidRDefault="00600AA0" w:rsidP="007D5039">
      <w:pPr>
        <w:numPr>
          <w:ilvl w:val="0"/>
          <w:numId w:val="62"/>
        </w:numPr>
        <w:jc w:val="both"/>
      </w:pPr>
      <w:r>
        <w:t>Nabíjecí místa elektromobilů</w:t>
      </w:r>
    </w:p>
    <w:p w14:paraId="6B0FD31E" w14:textId="1543D988" w:rsidR="00F7040C" w:rsidRDefault="00F7040C" w:rsidP="007D5039">
      <w:pPr>
        <w:numPr>
          <w:ilvl w:val="0"/>
          <w:numId w:val="62"/>
        </w:numPr>
        <w:jc w:val="both"/>
      </w:pPr>
      <w:r>
        <w:t>Parkovací, servisní, čekací a odstavné plochy</w:t>
      </w:r>
      <w:r w:rsidR="00C427B6">
        <w:t>.</w:t>
      </w:r>
    </w:p>
    <w:p w14:paraId="5923031C" w14:textId="77777777" w:rsidR="00F7040C" w:rsidRDefault="00F7040C" w:rsidP="007D5039">
      <w:pPr>
        <w:numPr>
          <w:ilvl w:val="0"/>
          <w:numId w:val="62"/>
        </w:numPr>
        <w:jc w:val="both"/>
      </w:pPr>
      <w:r>
        <w:t>Mycí hala</w:t>
      </w:r>
      <w:r w:rsidR="00C427B6">
        <w:t>.</w:t>
      </w:r>
    </w:p>
    <w:p w14:paraId="2F3B2184" w14:textId="77777777" w:rsidR="00F7040C" w:rsidRPr="00F7040C" w:rsidRDefault="00F7040C" w:rsidP="007D5039">
      <w:pPr>
        <w:numPr>
          <w:ilvl w:val="0"/>
          <w:numId w:val="62"/>
        </w:numPr>
        <w:jc w:val="both"/>
      </w:pPr>
      <w:r>
        <w:t>Vnitřní prostory kiosku s přístupem veřejnosti – shop, WC, sprcha apod.</w:t>
      </w:r>
    </w:p>
    <w:p w14:paraId="0A817E5A" w14:textId="77777777" w:rsidR="00737AFC" w:rsidRPr="0054512D" w:rsidRDefault="0014158D" w:rsidP="007D5039">
      <w:pPr>
        <w:pStyle w:val="Nadpis3"/>
        <w:jc w:val="both"/>
      </w:pPr>
      <w:r w:rsidRPr="0054512D">
        <w:t>Ostatní</w:t>
      </w:r>
      <w:r w:rsidR="00737AFC" w:rsidRPr="0054512D">
        <w:t xml:space="preserve"> prostor</w:t>
      </w:r>
      <w:r w:rsidRPr="0054512D">
        <w:t>y</w:t>
      </w:r>
    </w:p>
    <w:p w14:paraId="24D8FB6B" w14:textId="77777777" w:rsidR="00DF6270" w:rsidRDefault="00737AFC" w:rsidP="007D503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Ostatní prostory</w:t>
      </w:r>
      <w:r w:rsidR="003C3331">
        <w:rPr>
          <w:rFonts w:cs="Arial"/>
          <w:szCs w:val="20"/>
        </w:rPr>
        <w:t xml:space="preserve"> neodpovídající definicím prostoru s nebezpečím výbuchu</w:t>
      </w:r>
      <w:r w:rsidR="00F7040C">
        <w:rPr>
          <w:rFonts w:cs="Arial"/>
          <w:szCs w:val="20"/>
        </w:rPr>
        <w:t>,</w:t>
      </w:r>
      <w:r w:rsidR="003C3331">
        <w:rPr>
          <w:rFonts w:cs="Arial"/>
          <w:szCs w:val="20"/>
        </w:rPr>
        <w:t xml:space="preserve"> nebezpečného prostoru. </w:t>
      </w:r>
    </w:p>
    <w:p w14:paraId="3331FE9B" w14:textId="77777777" w:rsidR="00737AFC" w:rsidRDefault="007773BB" w:rsidP="007D5039">
      <w:pPr>
        <w:pStyle w:val="Nadpis2"/>
        <w:jc w:val="both"/>
      </w:pPr>
      <w:bookmarkStart w:id="17" w:name="_Toc70486842"/>
      <w:r>
        <w:t>Definice</w:t>
      </w:r>
      <w:r w:rsidR="00737AFC">
        <w:t xml:space="preserve"> prací</w:t>
      </w:r>
      <w:r>
        <w:t xml:space="preserve"> </w:t>
      </w:r>
      <w:r w:rsidR="008523C8">
        <w:t xml:space="preserve">a jejich specifikace </w:t>
      </w:r>
      <w:r>
        <w:t>dle jednotlivých prostorů</w:t>
      </w:r>
      <w:bookmarkEnd w:id="17"/>
    </w:p>
    <w:p w14:paraId="200145C5" w14:textId="77777777" w:rsidR="004C4A3E" w:rsidRPr="007773BB" w:rsidRDefault="004C4A3E" w:rsidP="007D5039">
      <w:pPr>
        <w:pStyle w:val="Nadpis3"/>
        <w:jc w:val="both"/>
      </w:pPr>
      <w:r w:rsidRPr="007773BB">
        <w:t>Základní práce</w:t>
      </w:r>
    </w:p>
    <w:p w14:paraId="6BDE58A7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Základní práce v prostorech s nebezpečím výbuchu</w:t>
      </w:r>
    </w:p>
    <w:p w14:paraId="4BFBE073" w14:textId="77777777" w:rsidR="00BF3FE5" w:rsidRPr="007773BB" w:rsidRDefault="00623AE8" w:rsidP="007D5039">
      <w:pPr>
        <w:spacing w:after="120"/>
        <w:ind w:left="709"/>
        <w:jc w:val="both"/>
        <w:rPr>
          <w:szCs w:val="20"/>
        </w:rPr>
      </w:pPr>
      <w:bookmarkStart w:id="18" w:name="Zaškrtávací1"/>
      <w:r w:rsidRPr="007773BB">
        <w:rPr>
          <w:szCs w:val="20"/>
        </w:rPr>
        <w:t xml:space="preserve">Práce prováděné výhradně s nejiskřivými prostředky a </w:t>
      </w:r>
      <w:r w:rsidR="00A75112">
        <w:rPr>
          <w:szCs w:val="20"/>
        </w:rPr>
        <w:t xml:space="preserve">kontrolní a pochůzkové činnosti </w:t>
      </w:r>
      <w:r w:rsidRPr="007773BB">
        <w:rPr>
          <w:szCs w:val="20"/>
        </w:rPr>
        <w:t xml:space="preserve">prováděné bez zásahu do zařízení, budov a pozemků, při nichž jsou výhradně použity nejiskřivé prostředky. </w:t>
      </w:r>
    </w:p>
    <w:bookmarkEnd w:id="18"/>
    <w:p w14:paraId="18DE7744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Základní práce v nebezpečném prostoru</w:t>
      </w:r>
    </w:p>
    <w:p w14:paraId="29923D3A" w14:textId="77777777" w:rsidR="00BF3FE5" w:rsidRPr="007773BB" w:rsidRDefault="00816C1C" w:rsidP="007D5039">
      <w:pPr>
        <w:spacing w:after="120"/>
        <w:ind w:left="709"/>
        <w:jc w:val="both"/>
        <w:rPr>
          <w:szCs w:val="20"/>
        </w:rPr>
      </w:pPr>
      <w:r w:rsidRPr="007773BB">
        <w:rPr>
          <w:rFonts w:cs="Arial"/>
          <w:szCs w:val="20"/>
        </w:rPr>
        <w:t xml:space="preserve">Práce prováděné bez </w:t>
      </w:r>
      <w:r w:rsidR="00127847" w:rsidRPr="007773BB">
        <w:rPr>
          <w:rFonts w:cs="Arial"/>
          <w:szCs w:val="20"/>
        </w:rPr>
        <w:t xml:space="preserve">realizace výkopových </w:t>
      </w:r>
      <w:r w:rsidRPr="007773BB">
        <w:rPr>
          <w:rFonts w:cs="Arial"/>
          <w:szCs w:val="20"/>
        </w:rPr>
        <w:t>pr</w:t>
      </w:r>
      <w:r w:rsidR="00127847" w:rsidRPr="007773BB">
        <w:rPr>
          <w:rFonts w:cs="Arial"/>
          <w:szCs w:val="20"/>
        </w:rPr>
        <w:t>a</w:t>
      </w:r>
      <w:r w:rsidRPr="007773BB">
        <w:rPr>
          <w:rFonts w:cs="Arial"/>
          <w:szCs w:val="20"/>
        </w:rPr>
        <w:t>c</w:t>
      </w:r>
      <w:r w:rsidR="00127847" w:rsidRPr="007773BB">
        <w:rPr>
          <w:rFonts w:cs="Arial"/>
          <w:szCs w:val="20"/>
        </w:rPr>
        <w:t>í, prací</w:t>
      </w:r>
      <w:r w:rsidRPr="007773BB">
        <w:rPr>
          <w:rFonts w:cs="Arial"/>
          <w:szCs w:val="20"/>
        </w:rPr>
        <w:t xml:space="preserve"> s</w:t>
      </w:r>
      <w:r w:rsidR="001F790B" w:rsidRPr="007773BB">
        <w:rPr>
          <w:rFonts w:cs="Arial"/>
          <w:szCs w:val="20"/>
        </w:rPr>
        <w:t> </w:t>
      </w:r>
      <w:r w:rsidRPr="007773BB">
        <w:rPr>
          <w:rFonts w:cs="Arial"/>
          <w:szCs w:val="20"/>
        </w:rPr>
        <w:t>ohněm</w:t>
      </w:r>
      <w:r w:rsidR="001F790B" w:rsidRPr="007773BB">
        <w:rPr>
          <w:rFonts w:cs="Arial"/>
          <w:szCs w:val="20"/>
        </w:rPr>
        <w:t xml:space="preserve"> a bez</w:t>
      </w:r>
      <w:r w:rsidRPr="007773BB">
        <w:rPr>
          <w:rFonts w:cs="Arial"/>
          <w:szCs w:val="20"/>
        </w:rPr>
        <w:t xml:space="preserve"> </w:t>
      </w:r>
      <w:r w:rsidR="00127847" w:rsidRPr="007773BB">
        <w:rPr>
          <w:rFonts w:cs="Arial"/>
          <w:szCs w:val="20"/>
        </w:rPr>
        <w:t xml:space="preserve">použití zdrojů </w:t>
      </w:r>
      <w:r w:rsidRPr="007773BB">
        <w:rPr>
          <w:rFonts w:cs="Arial"/>
          <w:szCs w:val="20"/>
        </w:rPr>
        <w:t>záření</w:t>
      </w:r>
      <w:r w:rsidR="00737AFC" w:rsidRPr="007773BB">
        <w:rPr>
          <w:szCs w:val="20"/>
        </w:rPr>
        <w:t xml:space="preserve">. </w:t>
      </w:r>
    </w:p>
    <w:p w14:paraId="6A43A585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Základní práce v</w:t>
      </w:r>
      <w:r w:rsidR="00444618" w:rsidRPr="000702B3">
        <w:rPr>
          <w:u w:val="single"/>
        </w:rPr>
        <w:t xml:space="preserve"> ostatních</w:t>
      </w:r>
      <w:r w:rsidRPr="000702B3">
        <w:rPr>
          <w:u w:val="single"/>
        </w:rPr>
        <w:t xml:space="preserve"> prostor</w:t>
      </w:r>
      <w:r w:rsidR="00444618" w:rsidRPr="000702B3">
        <w:rPr>
          <w:u w:val="single"/>
        </w:rPr>
        <w:t>ech</w:t>
      </w:r>
    </w:p>
    <w:p w14:paraId="4031DC26" w14:textId="77777777" w:rsidR="00BF3FE5" w:rsidRPr="007773BB" w:rsidRDefault="009302B1" w:rsidP="007D5039">
      <w:pPr>
        <w:spacing w:after="120"/>
        <w:ind w:left="709"/>
        <w:jc w:val="both"/>
        <w:rPr>
          <w:rFonts w:cs="Arial"/>
          <w:szCs w:val="20"/>
        </w:rPr>
      </w:pPr>
      <w:r w:rsidRPr="007773BB">
        <w:rPr>
          <w:rFonts w:cs="Arial"/>
          <w:szCs w:val="20"/>
        </w:rPr>
        <w:t xml:space="preserve">Práce prováděné bez realizace výkopových prací, prací s ohněm a bez použití zdrojů záření. </w:t>
      </w:r>
    </w:p>
    <w:p w14:paraId="53D768CF" w14:textId="77777777" w:rsidR="00737AFC" w:rsidRPr="007773BB" w:rsidRDefault="00737AFC" w:rsidP="007D5039">
      <w:pPr>
        <w:pStyle w:val="Nadpis3"/>
        <w:jc w:val="both"/>
      </w:pPr>
      <w:r w:rsidRPr="007773BB">
        <w:t xml:space="preserve">Práce s ohněm </w:t>
      </w:r>
    </w:p>
    <w:p w14:paraId="09DCA039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Za práci s ohněm se považuje:</w:t>
      </w:r>
    </w:p>
    <w:p w14:paraId="6FFB6812" w14:textId="77777777" w:rsidR="00737AFC" w:rsidRPr="007773BB" w:rsidRDefault="00737AFC" w:rsidP="007D5039">
      <w:pPr>
        <w:numPr>
          <w:ilvl w:val="0"/>
          <w:numId w:val="59"/>
        </w:numPr>
        <w:ind w:left="1066" w:hanging="357"/>
        <w:jc w:val="both"/>
      </w:pPr>
      <w:r w:rsidRPr="007773BB">
        <w:t>svařování, jímž se rozumí tepelné spojování, drážkování a tepelné dělení kovových i nekovových materiálů, pokud jsou prováděny otevřeným plamenem, elektrickým obloukem, plazmou, elektrickým odporem, laserem, třením, aluminotermickým svařováním,</w:t>
      </w:r>
    </w:p>
    <w:p w14:paraId="1AD471AD" w14:textId="77777777" w:rsidR="00737AFC" w:rsidRPr="007773BB" w:rsidRDefault="00737AFC" w:rsidP="007D5039">
      <w:pPr>
        <w:numPr>
          <w:ilvl w:val="0"/>
          <w:numId w:val="59"/>
        </w:numPr>
        <w:ind w:left="1066" w:hanging="357"/>
        <w:jc w:val="both"/>
      </w:pPr>
      <w:r w:rsidRPr="007773BB">
        <w:t>používání elektrických pájedel</w:t>
      </w:r>
      <w:r w:rsidR="00F01639">
        <w:t>,</w:t>
      </w:r>
      <w:r w:rsidRPr="007773BB">
        <w:t xml:space="preserve"> benzínových pájecích lamp,</w:t>
      </w:r>
    </w:p>
    <w:p w14:paraId="6319CC7E" w14:textId="77777777" w:rsidR="00737AFC" w:rsidRPr="007773BB" w:rsidRDefault="00737AFC" w:rsidP="007D5039">
      <w:pPr>
        <w:numPr>
          <w:ilvl w:val="0"/>
          <w:numId w:val="59"/>
        </w:numPr>
        <w:ind w:left="1066" w:hanging="357"/>
        <w:jc w:val="both"/>
      </w:pPr>
      <w:r w:rsidRPr="007773BB">
        <w:t>nahřívání živic v tavných nádobách,</w:t>
      </w:r>
    </w:p>
    <w:p w14:paraId="6FC6E506" w14:textId="77777777" w:rsidR="00737AFC" w:rsidRPr="007773BB" w:rsidRDefault="00737AFC" w:rsidP="007D5039">
      <w:pPr>
        <w:numPr>
          <w:ilvl w:val="0"/>
          <w:numId w:val="59"/>
        </w:numPr>
        <w:ind w:left="1066" w:hanging="357"/>
        <w:jc w:val="both"/>
        <w:rPr>
          <w:rFonts w:cs="Arial"/>
          <w:szCs w:val="20"/>
        </w:rPr>
      </w:pPr>
      <w:r w:rsidRPr="007773BB">
        <w:rPr>
          <w:rFonts w:cs="Arial"/>
          <w:szCs w:val="20"/>
        </w:rPr>
        <w:t>broušení a řezání kovového materiálu s výjimkou použití ručního nářadí</w:t>
      </w:r>
      <w:r w:rsidR="0006582C" w:rsidRPr="007773BB">
        <w:rPr>
          <w:rFonts w:cs="Arial"/>
          <w:szCs w:val="20"/>
        </w:rPr>
        <w:t xml:space="preserve"> bez pohonu</w:t>
      </w:r>
      <w:r w:rsidRPr="007773BB">
        <w:rPr>
          <w:rFonts w:cs="Arial"/>
          <w:szCs w:val="20"/>
        </w:rPr>
        <w:t>,</w:t>
      </w:r>
    </w:p>
    <w:p w14:paraId="3C4CFC8F" w14:textId="77777777" w:rsidR="00A836CA" w:rsidRPr="00A836CA" w:rsidRDefault="00737AFC" w:rsidP="007D5039">
      <w:pPr>
        <w:numPr>
          <w:ilvl w:val="0"/>
          <w:numId w:val="59"/>
        </w:numPr>
        <w:ind w:left="1066" w:hanging="357"/>
        <w:jc w:val="both"/>
        <w:rPr>
          <w:rFonts w:cs="Arial"/>
          <w:szCs w:val="20"/>
        </w:rPr>
      </w:pPr>
      <w:r w:rsidRPr="00A836CA">
        <w:rPr>
          <w:rFonts w:cs="Arial"/>
          <w:szCs w:val="20"/>
        </w:rPr>
        <w:t xml:space="preserve">použití jiskřivého nářadí a přístrojů, strojů a zařízení </w:t>
      </w:r>
      <w:r w:rsidR="00E27E80" w:rsidRPr="00A836CA">
        <w:rPr>
          <w:rFonts w:cs="Arial"/>
          <w:szCs w:val="20"/>
        </w:rPr>
        <w:t xml:space="preserve">v prostředí s nebezpečím výbuchu </w:t>
      </w:r>
      <w:r w:rsidRPr="00A836CA">
        <w:rPr>
          <w:rFonts w:cs="Arial"/>
          <w:szCs w:val="20"/>
        </w:rPr>
        <w:t xml:space="preserve">neodpovídajících </w:t>
      </w:r>
      <w:r w:rsidR="0008259C" w:rsidRPr="00A836CA">
        <w:rPr>
          <w:rFonts w:cs="Arial"/>
          <w:szCs w:val="20"/>
        </w:rPr>
        <w:t xml:space="preserve">požadavkům </w:t>
      </w:r>
      <w:r w:rsidRPr="00A836CA">
        <w:rPr>
          <w:rFonts w:cs="Arial"/>
          <w:szCs w:val="20"/>
        </w:rPr>
        <w:t>pro použití do prosto</w:t>
      </w:r>
      <w:r w:rsidR="00823920" w:rsidRPr="00A836CA">
        <w:rPr>
          <w:rFonts w:cs="Arial"/>
          <w:szCs w:val="20"/>
        </w:rPr>
        <w:t>ru s nebezpečím výbuchu (zóna 0</w:t>
      </w:r>
      <w:r w:rsidR="00E27E80" w:rsidRPr="00A836CA">
        <w:rPr>
          <w:rFonts w:cs="Arial"/>
          <w:szCs w:val="20"/>
        </w:rPr>
        <w:t>,</w:t>
      </w:r>
      <w:r w:rsidRPr="00A836CA">
        <w:rPr>
          <w:rFonts w:cs="Arial"/>
          <w:szCs w:val="20"/>
        </w:rPr>
        <w:t xml:space="preserve"> 1</w:t>
      </w:r>
      <w:r w:rsidR="00E27E80" w:rsidRPr="00A836CA">
        <w:rPr>
          <w:rFonts w:cs="Arial"/>
          <w:szCs w:val="20"/>
        </w:rPr>
        <w:t xml:space="preserve"> a 2) dle stanovené klasifikace - </w:t>
      </w:r>
      <w:r w:rsidR="00A836CA" w:rsidRPr="00A836CA">
        <w:rPr>
          <w:rFonts w:cs="Arial"/>
          <w:szCs w:val="20"/>
        </w:rPr>
        <w:t xml:space="preserve">elektromechanické, pneumatické, hydraulické nářadí, ruční nářadí, měřící, diagnostické a záznamové </w:t>
      </w:r>
      <w:proofErr w:type="spellStart"/>
      <w:r w:rsidR="00A836CA" w:rsidRPr="00A836CA">
        <w:rPr>
          <w:rFonts w:cs="Arial"/>
          <w:szCs w:val="20"/>
        </w:rPr>
        <w:t>přístroje,vjezd</w:t>
      </w:r>
      <w:proofErr w:type="spellEnd"/>
      <w:r w:rsidR="00A836CA" w:rsidRPr="00A836CA">
        <w:rPr>
          <w:rFonts w:cs="Arial"/>
          <w:szCs w:val="20"/>
        </w:rPr>
        <w:t xml:space="preserve"> motorových vozidel, používání agregátů se spalovacími nebo elektrickými motory, provoz zdrojů elektrické </w:t>
      </w:r>
      <w:proofErr w:type="spellStart"/>
      <w:r w:rsidR="00A836CA" w:rsidRPr="00A836CA">
        <w:rPr>
          <w:rFonts w:cs="Arial"/>
          <w:szCs w:val="20"/>
        </w:rPr>
        <w:t>energie,montáž</w:t>
      </w:r>
      <w:proofErr w:type="spellEnd"/>
      <w:r w:rsidR="00A836CA" w:rsidRPr="00A836CA">
        <w:rPr>
          <w:rFonts w:cs="Arial"/>
          <w:szCs w:val="20"/>
        </w:rPr>
        <w:t>, demontáž a úpravy lešenářských konstrukcí</w:t>
      </w:r>
      <w:r w:rsidR="00D606B9">
        <w:rPr>
          <w:rFonts w:cs="Arial"/>
          <w:szCs w:val="20"/>
        </w:rPr>
        <w:t>.</w:t>
      </w:r>
    </w:p>
    <w:p w14:paraId="7081CAA5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Práce s ohněm se rozděluje na:</w:t>
      </w:r>
    </w:p>
    <w:p w14:paraId="3E480DD5" w14:textId="77777777" w:rsidR="00737AFC" w:rsidRPr="0045349E" w:rsidRDefault="00737AFC" w:rsidP="007D5039">
      <w:pPr>
        <w:numPr>
          <w:ilvl w:val="0"/>
          <w:numId w:val="63"/>
        </w:numPr>
        <w:jc w:val="both"/>
      </w:pPr>
      <w:r w:rsidRPr="0045349E">
        <w:t>práci s ohněm vyžadující</w:t>
      </w:r>
      <w:r w:rsidR="00E2680E" w:rsidRPr="0045349E">
        <w:t xml:space="preserve"> zvláštní požárně/bezpečnostní opatření</w:t>
      </w:r>
    </w:p>
    <w:p w14:paraId="6D4781D0" w14:textId="77777777" w:rsidR="00737AFC" w:rsidRPr="0045349E" w:rsidRDefault="00737AFC" w:rsidP="007D5039">
      <w:pPr>
        <w:spacing w:after="120"/>
        <w:ind w:left="1069"/>
        <w:jc w:val="both"/>
        <w:rPr>
          <w:rFonts w:cs="Arial"/>
          <w:szCs w:val="20"/>
        </w:rPr>
      </w:pPr>
      <w:r w:rsidRPr="0045349E">
        <w:rPr>
          <w:rFonts w:cs="Arial"/>
          <w:szCs w:val="20"/>
        </w:rPr>
        <w:t>Práce s ohněm v prostorech s nebezpečím výbuchu a práce s ohněm v prostorech, kde není pro osoby provádějící tyto práce zcela zřejmý výskyt hořlavých nebo hoření podporujících látek (hořlavé izolace, otevřené kanály, nátěry nebo tepelně neizolující materiály, zbytkové množství látek, apod.).</w:t>
      </w:r>
    </w:p>
    <w:p w14:paraId="6B4BF5CE" w14:textId="77777777" w:rsidR="00737AFC" w:rsidRPr="0045349E" w:rsidRDefault="00737AFC" w:rsidP="007D5039">
      <w:pPr>
        <w:numPr>
          <w:ilvl w:val="0"/>
          <w:numId w:val="63"/>
        </w:numPr>
        <w:spacing w:after="120"/>
        <w:jc w:val="both"/>
        <w:rPr>
          <w:rFonts w:cs="Arial"/>
          <w:szCs w:val="20"/>
        </w:rPr>
      </w:pPr>
      <w:r w:rsidRPr="0045349E">
        <w:rPr>
          <w:rFonts w:cs="Arial"/>
          <w:szCs w:val="20"/>
        </w:rPr>
        <w:t xml:space="preserve">práci s ohněm vyžadující základní </w:t>
      </w:r>
      <w:r w:rsidR="00C30172" w:rsidRPr="0045349E">
        <w:rPr>
          <w:rFonts w:cs="Arial"/>
          <w:szCs w:val="20"/>
        </w:rPr>
        <w:t xml:space="preserve">požárně/bezpečnostní </w:t>
      </w:r>
      <w:r w:rsidRPr="0045349E">
        <w:rPr>
          <w:rFonts w:cs="Arial"/>
          <w:szCs w:val="20"/>
        </w:rPr>
        <w:t>opatření</w:t>
      </w:r>
    </w:p>
    <w:p w14:paraId="5C21D9BE" w14:textId="77777777" w:rsidR="00737AFC" w:rsidRPr="007773BB" w:rsidRDefault="00737AFC" w:rsidP="007D5039">
      <w:pPr>
        <w:pStyle w:val="Nadpis3"/>
        <w:jc w:val="both"/>
      </w:pPr>
      <w:r w:rsidRPr="007773BB">
        <w:t>Práce se zdroji ionizujícího záření</w:t>
      </w:r>
    </w:p>
    <w:p w14:paraId="19AB3C3F" w14:textId="77777777" w:rsidR="00737AFC" w:rsidRDefault="00737AFC" w:rsidP="007D5039">
      <w:pPr>
        <w:pStyle w:val="Pojmydefinice"/>
        <w:tabs>
          <w:tab w:val="clear" w:pos="3119"/>
        </w:tabs>
        <w:spacing w:before="120"/>
        <w:ind w:left="709" w:firstLine="0"/>
        <w:jc w:val="both"/>
        <w:rPr>
          <w:rFonts w:ascii="Arial" w:hAnsi="Arial" w:cs="Arial"/>
          <w:sz w:val="20"/>
        </w:rPr>
      </w:pPr>
      <w:r w:rsidRPr="007773BB">
        <w:rPr>
          <w:rFonts w:ascii="Arial" w:hAnsi="Arial" w:cs="Arial"/>
          <w:sz w:val="20"/>
        </w:rPr>
        <w:t>Prác</w:t>
      </w:r>
      <w:r w:rsidR="009806EB">
        <w:rPr>
          <w:rFonts w:ascii="Arial" w:hAnsi="Arial" w:cs="Arial"/>
          <w:sz w:val="20"/>
        </w:rPr>
        <w:t>e se zdroji ionizujícího záření.</w:t>
      </w:r>
      <w:r w:rsidRPr="007773BB">
        <w:rPr>
          <w:rFonts w:ascii="Arial" w:hAnsi="Arial" w:cs="Arial"/>
          <w:sz w:val="20"/>
        </w:rPr>
        <w:t xml:space="preserve"> Jedná se o zařízení, která</w:t>
      </w:r>
      <w:r w:rsidR="000560D7" w:rsidRPr="007773BB">
        <w:rPr>
          <w:rFonts w:ascii="Arial" w:hAnsi="Arial" w:cs="Arial"/>
          <w:sz w:val="20"/>
        </w:rPr>
        <w:t xml:space="preserve"> mohou způsobit nemoc z ozáření, zák</w:t>
      </w:r>
      <w:r w:rsidR="00046067" w:rsidRPr="007773BB">
        <w:rPr>
          <w:rFonts w:ascii="Arial" w:hAnsi="Arial" w:cs="Arial"/>
          <w:sz w:val="20"/>
        </w:rPr>
        <w:t>al</w:t>
      </w:r>
      <w:r w:rsidR="000560D7" w:rsidRPr="007773BB">
        <w:rPr>
          <w:rFonts w:ascii="Arial" w:hAnsi="Arial" w:cs="Arial"/>
          <w:sz w:val="20"/>
        </w:rPr>
        <w:t xml:space="preserve"> oční čočky, útlum krvetvorby</w:t>
      </w:r>
      <w:r w:rsidRPr="007773BB">
        <w:rPr>
          <w:rFonts w:ascii="Arial" w:hAnsi="Arial" w:cs="Arial"/>
          <w:sz w:val="20"/>
        </w:rPr>
        <w:t xml:space="preserve"> (zářiče pro potřeby defektoskopie, provozní hladinoměry, laboratorní analyzátory).</w:t>
      </w:r>
    </w:p>
    <w:p w14:paraId="5932F7C7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lastRenderedPageBreak/>
        <w:t>Práce se zdroji záření v prostorech s nebezpečím výbuchu</w:t>
      </w:r>
    </w:p>
    <w:p w14:paraId="135884A8" w14:textId="77777777" w:rsidR="002C6F6E" w:rsidRDefault="002C6F6E" w:rsidP="007D5039">
      <w:pPr>
        <w:pStyle w:val="Nadpis4"/>
        <w:numPr>
          <w:ilvl w:val="0"/>
          <w:numId w:val="0"/>
        </w:numPr>
        <w:ind w:left="709"/>
        <w:jc w:val="both"/>
      </w:pPr>
      <w:r w:rsidRPr="007773BB">
        <w:t>Jedná se o práce s </w:t>
      </w:r>
      <w:r w:rsidRPr="00800586">
        <w:t>ohněm</w:t>
      </w:r>
      <w:r w:rsidR="00800586" w:rsidRPr="00800586">
        <w:t xml:space="preserve"> vyžadující zvláštní požárně/bezpečnostní opatření</w:t>
      </w:r>
      <w:r w:rsidRPr="00800586">
        <w:t xml:space="preserve">. </w:t>
      </w:r>
    </w:p>
    <w:p w14:paraId="45E5E212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Práce se zdroji záření v nebezpečném prostoru</w:t>
      </w:r>
    </w:p>
    <w:p w14:paraId="1F1E997E" w14:textId="77777777" w:rsidR="0067533D" w:rsidRDefault="0067533D" w:rsidP="007D5039">
      <w:pPr>
        <w:pStyle w:val="Nadpis4"/>
        <w:numPr>
          <w:ilvl w:val="0"/>
          <w:numId w:val="0"/>
        </w:numPr>
        <w:ind w:left="709"/>
        <w:jc w:val="both"/>
      </w:pPr>
      <w:r w:rsidRPr="0080131F">
        <w:t>Práce se zdroji záření v nebezpečném prostoru</w:t>
      </w:r>
      <w:r w:rsidR="0059504A">
        <w:t>.</w:t>
      </w:r>
    </w:p>
    <w:p w14:paraId="73F33F27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 xml:space="preserve">Práce se zdroji záření v </w:t>
      </w:r>
      <w:r w:rsidR="00CE53C6" w:rsidRPr="000702B3">
        <w:rPr>
          <w:u w:val="single"/>
        </w:rPr>
        <w:t>ostatních</w:t>
      </w:r>
      <w:r w:rsidRPr="000702B3">
        <w:rPr>
          <w:u w:val="single"/>
        </w:rPr>
        <w:t xml:space="preserve"> prostor</w:t>
      </w:r>
      <w:r w:rsidR="00CE53C6" w:rsidRPr="000702B3">
        <w:rPr>
          <w:u w:val="single"/>
        </w:rPr>
        <w:t>ech</w:t>
      </w:r>
    </w:p>
    <w:p w14:paraId="55CAA6D7" w14:textId="77777777" w:rsidR="0067533D" w:rsidRDefault="0067533D" w:rsidP="007D5039">
      <w:pPr>
        <w:pStyle w:val="Nadpis4"/>
        <w:numPr>
          <w:ilvl w:val="0"/>
          <w:numId w:val="0"/>
        </w:numPr>
        <w:ind w:left="709"/>
        <w:jc w:val="both"/>
      </w:pPr>
      <w:r w:rsidRPr="0080131F">
        <w:t>Práce se zdroji záření v ostatních prostorech</w:t>
      </w:r>
      <w:r w:rsidR="0059504A">
        <w:t>.</w:t>
      </w:r>
    </w:p>
    <w:p w14:paraId="5A6F60B1" w14:textId="77777777" w:rsidR="00112197" w:rsidRPr="00292BCC" w:rsidRDefault="00112197" w:rsidP="007D5039">
      <w:pPr>
        <w:pStyle w:val="Nadpis3"/>
        <w:jc w:val="both"/>
      </w:pPr>
      <w:r w:rsidRPr="00292BCC">
        <w:t>Výkopové práce</w:t>
      </w:r>
    </w:p>
    <w:p w14:paraId="7DDD574A" w14:textId="77777777" w:rsidR="0067232B" w:rsidRPr="007773BB" w:rsidRDefault="00737AFC" w:rsidP="007D5039">
      <w:pPr>
        <w:jc w:val="both"/>
      </w:pPr>
      <w:r w:rsidRPr="007773BB">
        <w:t>Práce, při nichž vzniká zemní objekt, který se tvaruje rozpojováním horniny, odebírání</w:t>
      </w:r>
      <w:r w:rsidR="0008259C">
        <w:t>m</w:t>
      </w:r>
      <w:r w:rsidRPr="007773BB">
        <w:t xml:space="preserve"> výkopku s jeho odhozením, anebo naložením na dopravní prostředek, se současným vytvářením svahů a dna s jejich případným urovnáním a vroubením. </w:t>
      </w:r>
    </w:p>
    <w:p w14:paraId="2F6AAECA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Výkopové práce v prostorech s nebezpečím výbuchu</w:t>
      </w:r>
    </w:p>
    <w:p w14:paraId="2AC04D6E" w14:textId="77777777" w:rsidR="00800586" w:rsidRPr="00800586" w:rsidRDefault="00800586" w:rsidP="007D5039">
      <w:pPr>
        <w:pStyle w:val="Nadpis4"/>
        <w:numPr>
          <w:ilvl w:val="0"/>
          <w:numId w:val="0"/>
        </w:numPr>
        <w:ind w:left="709"/>
        <w:jc w:val="both"/>
      </w:pPr>
      <w:r w:rsidRPr="007773BB">
        <w:t>Jedná se o práce s </w:t>
      </w:r>
      <w:r w:rsidRPr="00800586">
        <w:t xml:space="preserve">ohněm vyžadující zvláštní požárně/bezpečnostní opatření. </w:t>
      </w:r>
    </w:p>
    <w:p w14:paraId="2E674AD5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>Výkopové práce (nebezpečný prostor)</w:t>
      </w:r>
    </w:p>
    <w:p w14:paraId="4BAE8700" w14:textId="77777777" w:rsidR="0067533D" w:rsidRPr="0080131F" w:rsidRDefault="0067533D" w:rsidP="007D5039">
      <w:pPr>
        <w:pStyle w:val="Nadpis4"/>
        <w:numPr>
          <w:ilvl w:val="0"/>
          <w:numId w:val="0"/>
        </w:numPr>
        <w:ind w:left="709"/>
        <w:jc w:val="both"/>
      </w:pPr>
      <w:r w:rsidRPr="0080131F">
        <w:t>Výkopové práce (nebezpečný prostor)</w:t>
      </w:r>
      <w:r w:rsidR="0059504A">
        <w:t>.</w:t>
      </w:r>
    </w:p>
    <w:p w14:paraId="017DD8A1" w14:textId="77777777" w:rsidR="00737AFC" w:rsidRPr="000702B3" w:rsidRDefault="00737AFC" w:rsidP="007D5039">
      <w:pPr>
        <w:pStyle w:val="Nadpis4"/>
        <w:jc w:val="both"/>
        <w:rPr>
          <w:u w:val="single"/>
        </w:rPr>
      </w:pPr>
      <w:r w:rsidRPr="000702B3">
        <w:rPr>
          <w:u w:val="single"/>
        </w:rPr>
        <w:t xml:space="preserve">Výkopové práce </w:t>
      </w:r>
      <w:r w:rsidR="00CE53C6" w:rsidRPr="000702B3">
        <w:rPr>
          <w:u w:val="single"/>
        </w:rPr>
        <w:t>v ostatních prostorech</w:t>
      </w:r>
    </w:p>
    <w:p w14:paraId="53EC52DB" w14:textId="77777777" w:rsidR="0067533D" w:rsidRDefault="0067533D" w:rsidP="007D5039">
      <w:pPr>
        <w:pStyle w:val="Nadpis4"/>
        <w:numPr>
          <w:ilvl w:val="0"/>
          <w:numId w:val="0"/>
        </w:numPr>
        <w:ind w:left="709"/>
        <w:jc w:val="both"/>
      </w:pPr>
      <w:r w:rsidRPr="0080131F">
        <w:t>Výkopové práce v ostatních prostorech</w:t>
      </w:r>
      <w:r w:rsidR="0059504A">
        <w:t>.</w:t>
      </w:r>
    </w:p>
    <w:p w14:paraId="2C338882" w14:textId="77777777" w:rsidR="00A630B9" w:rsidRDefault="00A630B9" w:rsidP="007D5039">
      <w:pPr>
        <w:pStyle w:val="Nadpis3"/>
        <w:jc w:val="both"/>
      </w:pPr>
      <w:r>
        <w:t>Práce ve výšce/na střeše</w:t>
      </w:r>
    </w:p>
    <w:p w14:paraId="5008A636" w14:textId="77777777" w:rsidR="00A630B9" w:rsidRPr="00A630B9" w:rsidRDefault="00A630B9" w:rsidP="007D5039">
      <w:pPr>
        <w:jc w:val="both"/>
      </w:pPr>
      <w:r>
        <w:t xml:space="preserve">Práce, při nichž </w:t>
      </w:r>
      <w:r w:rsidR="00822893">
        <w:t xml:space="preserve">hrozí pád osoby z výšky &gt;1,5 m, nebo mohou být pádem předmětů ohroženy osoby nebo majetek pod místem práce. </w:t>
      </w:r>
    </w:p>
    <w:p w14:paraId="76DD4E4A" w14:textId="77777777" w:rsidR="006D4CF6" w:rsidRDefault="006D4CF6" w:rsidP="007D5039">
      <w:pPr>
        <w:pStyle w:val="Nadpis2"/>
        <w:jc w:val="both"/>
      </w:pPr>
      <w:bookmarkStart w:id="19" w:name="_Toc47093366"/>
      <w:bookmarkStart w:id="20" w:name="_Toc47093393"/>
      <w:bookmarkStart w:id="21" w:name="_Toc70486843"/>
      <w:bookmarkEnd w:id="19"/>
      <w:bookmarkEnd w:id="20"/>
      <w:r>
        <w:t>Stanovení podmínek s ohledem na prostor a druh vykonávané práce</w:t>
      </w:r>
      <w:bookmarkEnd w:id="21"/>
      <w:r>
        <w:t xml:space="preserve"> </w:t>
      </w:r>
    </w:p>
    <w:p w14:paraId="23116392" w14:textId="77777777" w:rsidR="00CA7A3D" w:rsidRDefault="00F679EC" w:rsidP="007D5039">
      <w:pPr>
        <w:jc w:val="both"/>
      </w:pPr>
      <w:r>
        <w:t>Grafické znázornění vybraných podmínek stanovených podle jednotlivých prostorů a druhu vykonávané práce</w:t>
      </w:r>
      <w:r w:rsidR="0081404C">
        <w:t>,</w:t>
      </w:r>
      <w:r>
        <w:t xml:space="preserve"> je uveden</w:t>
      </w:r>
      <w:r w:rsidR="0016122A">
        <w:t>o</w:t>
      </w:r>
      <w:r>
        <w:t xml:space="preserve"> v</w:t>
      </w:r>
      <w:r w:rsidR="004154BC">
        <w:t> </w:t>
      </w:r>
      <w:r>
        <w:t>příloze</w:t>
      </w:r>
      <w:r w:rsidR="004154BC">
        <w:t xml:space="preserve"> G</w:t>
      </w:r>
      <w:r>
        <w:t>.</w:t>
      </w:r>
      <w:r w:rsidR="007805FB">
        <w:t xml:space="preserve"> </w:t>
      </w:r>
    </w:p>
    <w:p w14:paraId="6D25A716" w14:textId="77777777" w:rsidR="00292521" w:rsidRPr="00B5798E" w:rsidRDefault="006563EE" w:rsidP="007D5039">
      <w:pPr>
        <w:pStyle w:val="Nadpis2"/>
        <w:jc w:val="both"/>
      </w:pPr>
      <w:bookmarkStart w:id="22" w:name="_Toc70486844"/>
      <w:r w:rsidRPr="00B5798E">
        <w:t>Kontrola a sankce</w:t>
      </w:r>
      <w:bookmarkEnd w:id="22"/>
    </w:p>
    <w:p w14:paraId="5887E908" w14:textId="77777777" w:rsidR="000046B1" w:rsidRPr="00B5798E" w:rsidRDefault="000046B1" w:rsidP="007D5039">
      <w:pPr>
        <w:pStyle w:val="Nadpis3-lnek"/>
        <w:jc w:val="both"/>
      </w:pPr>
      <w:r w:rsidRPr="00B5798E">
        <w:t xml:space="preserve">Kontrolu dodržování podmínek uvedených v této směrnici a souvisejících dokumentů jsou oprávněni vykonávat účastníci povolovacího řízení, </w:t>
      </w:r>
      <w:r w:rsidR="00DF77C4">
        <w:t>všichni vedoucí zaměstnanci</w:t>
      </w:r>
      <w:r w:rsidR="00D45418">
        <w:t xml:space="preserve"> </w:t>
      </w:r>
      <w:r w:rsidR="00DF77C4">
        <w:t xml:space="preserve"> </w:t>
      </w:r>
      <w:r w:rsidR="00594C44">
        <w:t>OZ,</w:t>
      </w:r>
      <w:r w:rsidR="00DF77C4">
        <w:t xml:space="preserve"> OZO, zaměstnanci provozního úseku, oddělení údržby, odboru investic</w:t>
      </w:r>
      <w:r w:rsidR="00F43E68">
        <w:t xml:space="preserve"> maloobchodu</w:t>
      </w:r>
      <w:r w:rsidR="00DF77C4">
        <w:t xml:space="preserve"> a další osoby vybavené ID kartou opravňující ke kontrole ČS.</w:t>
      </w:r>
    </w:p>
    <w:p w14:paraId="7103C36D" w14:textId="6580C3DD" w:rsidR="00D45B27" w:rsidRDefault="00B330BA" w:rsidP="007D5039">
      <w:pPr>
        <w:pStyle w:val="Nadpis3-lnek"/>
        <w:jc w:val="both"/>
      </w:pPr>
      <w:r w:rsidRPr="00FF3947">
        <w:t xml:space="preserve">Výsledky kontrol </w:t>
      </w:r>
      <w:proofErr w:type="spellStart"/>
      <w:r w:rsidRPr="00FF3947">
        <w:t>PkP</w:t>
      </w:r>
      <w:proofErr w:type="spellEnd"/>
      <w:r w:rsidRPr="00FF3947">
        <w:t>/</w:t>
      </w:r>
      <w:r w:rsidR="00B54201">
        <w:t>ZP</w:t>
      </w:r>
      <w:r w:rsidR="000B149C" w:rsidRPr="00FF3947">
        <w:t xml:space="preserve"> </w:t>
      </w:r>
      <w:r w:rsidRPr="00FF3947">
        <w:t>zaznamenávají</w:t>
      </w:r>
      <w:r w:rsidR="000B149C" w:rsidRPr="00FF3947">
        <w:t xml:space="preserve"> </w:t>
      </w:r>
      <w:r w:rsidR="00A836CA">
        <w:t xml:space="preserve">oprávněné </w:t>
      </w:r>
      <w:r w:rsidRPr="00FF3947">
        <w:t xml:space="preserve">osoby </w:t>
      </w:r>
      <w:r w:rsidR="00A836CA">
        <w:t>do inspekční knihy na ČS</w:t>
      </w:r>
      <w:r w:rsidR="000B149C" w:rsidRPr="00FF3947">
        <w:t xml:space="preserve">. Na základě </w:t>
      </w:r>
      <w:r w:rsidRPr="00FF3947">
        <w:t xml:space="preserve">vyhodnocování kontrolních zjištění navrhuje </w:t>
      </w:r>
      <w:r w:rsidR="00515207">
        <w:t>OBPR</w:t>
      </w:r>
      <w:r w:rsidR="000B149C" w:rsidRPr="00FF3947">
        <w:t xml:space="preserve"> </w:t>
      </w:r>
      <w:r w:rsidR="000046B1" w:rsidRPr="00FF3947">
        <w:t>další kroky ve vztahu k dotčeným externím dodavatelům</w:t>
      </w:r>
      <w:r w:rsidR="00594C44">
        <w:t>.</w:t>
      </w:r>
    </w:p>
    <w:p w14:paraId="386D1F8A" w14:textId="77777777" w:rsidR="00395069" w:rsidRPr="00395069" w:rsidRDefault="00395069" w:rsidP="007D5039">
      <w:pPr>
        <w:pStyle w:val="Nadpis3-lnek"/>
        <w:jc w:val="both"/>
      </w:pPr>
      <w:r>
        <w:t xml:space="preserve">V případě zjištění neshod může společnost uplatnit smluvní sankci dle </w:t>
      </w:r>
      <w:r w:rsidR="00384B38">
        <w:t>s</w:t>
      </w:r>
      <w:r w:rsidR="00E714AE">
        <w:t>měrnice 402</w:t>
      </w:r>
      <w:r w:rsidR="00F43E68">
        <w:t>/2</w:t>
      </w:r>
      <w:r w:rsidR="00384B38">
        <w:t xml:space="preserve"> „</w:t>
      </w:r>
      <w:r w:rsidR="00384B38" w:rsidRPr="00384B38">
        <w:t>Bezpečnostní pravidla pro pracovníky jiných organizací</w:t>
      </w:r>
      <w:r w:rsidR="00384B38">
        <w:t>“</w:t>
      </w:r>
      <w:r w:rsidR="00437AC7">
        <w:t>.</w:t>
      </w:r>
    </w:p>
    <w:p w14:paraId="4D5FBD2F" w14:textId="77777777" w:rsidR="00204F53" w:rsidRPr="00BB38CC" w:rsidRDefault="00D45B27" w:rsidP="007D5039">
      <w:pPr>
        <w:pStyle w:val="Nadpis1"/>
        <w:tabs>
          <w:tab w:val="clear" w:pos="0"/>
          <w:tab w:val="clear" w:pos="851"/>
        </w:tabs>
        <w:jc w:val="both"/>
      </w:pPr>
      <w:bookmarkStart w:id="23" w:name="_Toc70486845"/>
      <w:r>
        <w:t>Odpovědnost</w:t>
      </w:r>
      <w:bookmarkEnd w:id="23"/>
    </w:p>
    <w:p w14:paraId="6CE99BEC" w14:textId="77777777" w:rsidR="00D45B27" w:rsidRDefault="00D45B27" w:rsidP="007D5039">
      <w:pPr>
        <w:jc w:val="both"/>
      </w:pPr>
      <w:r>
        <w:t xml:space="preserve">Odpovědnost vyplývá z jednotlivých ustanovení kapitoly </w:t>
      </w:r>
      <w:r w:rsidR="00594C44">
        <w:t>4</w:t>
      </w:r>
      <w:r>
        <w:t>.</w:t>
      </w:r>
    </w:p>
    <w:p w14:paraId="590FA37F" w14:textId="77777777" w:rsidR="00D45B27" w:rsidRDefault="0084496E" w:rsidP="007D5039">
      <w:pPr>
        <w:pStyle w:val="Nadpis1"/>
        <w:tabs>
          <w:tab w:val="clear" w:pos="0"/>
          <w:tab w:val="clear" w:pos="851"/>
        </w:tabs>
        <w:jc w:val="both"/>
      </w:pPr>
      <w:bookmarkStart w:id="24" w:name="_Toc70486846"/>
      <w:r>
        <w:t>Seznam souvisejících dokumentů</w:t>
      </w:r>
      <w:bookmarkEnd w:id="24"/>
    </w:p>
    <w:p w14:paraId="4800153B" w14:textId="77777777" w:rsidR="008A388F" w:rsidRDefault="00310A37" w:rsidP="007D5039">
      <w:pPr>
        <w:jc w:val="both"/>
      </w:pPr>
      <w:bookmarkStart w:id="25" w:name="_Toc336937414"/>
      <w:r w:rsidRPr="008A388F">
        <w:t>S</w:t>
      </w:r>
      <w:r w:rsidR="00384B38">
        <w:t>měrnice</w:t>
      </w:r>
      <w:r w:rsidRPr="008A388F">
        <w:t xml:space="preserve"> 027/2 </w:t>
      </w:r>
      <w:r w:rsidR="00384B38">
        <w:t>„</w:t>
      </w:r>
      <w:r w:rsidRPr="008A388F">
        <w:t>Řízení investičních projektů na čerpacích stanicích BENZINA, s.r.o.</w:t>
      </w:r>
      <w:r w:rsidR="00384B38">
        <w:t>“</w:t>
      </w:r>
    </w:p>
    <w:p w14:paraId="463B46F5" w14:textId="77777777" w:rsidR="00E714AE" w:rsidRDefault="00E714AE" w:rsidP="007D5039">
      <w:pPr>
        <w:jc w:val="both"/>
      </w:pPr>
      <w:r>
        <w:t>S</w:t>
      </w:r>
      <w:r w:rsidR="00384B38">
        <w:t>měrnice</w:t>
      </w:r>
      <w:r w:rsidR="0043368B">
        <w:t> </w:t>
      </w:r>
      <w:r>
        <w:t>402</w:t>
      </w:r>
      <w:r w:rsidR="0043368B">
        <w:t>/2</w:t>
      </w:r>
      <w:r>
        <w:t xml:space="preserve"> </w:t>
      </w:r>
      <w:r w:rsidR="00384B38">
        <w:t>„</w:t>
      </w:r>
      <w:r>
        <w:t>Bezpečnostní pravidla pro pracovníky jiných organizací</w:t>
      </w:r>
      <w:r w:rsidR="00384B38">
        <w:t>“</w:t>
      </w:r>
    </w:p>
    <w:p w14:paraId="6B1E0CA1" w14:textId="77777777" w:rsidR="0086425F" w:rsidRDefault="0086425F" w:rsidP="007D5039">
      <w:pPr>
        <w:jc w:val="both"/>
      </w:pPr>
      <w:r>
        <w:t>S</w:t>
      </w:r>
      <w:r w:rsidR="00384B38">
        <w:t>měrnice</w:t>
      </w:r>
      <w:r>
        <w:t xml:space="preserve"> 427 </w:t>
      </w:r>
      <w:r w:rsidR="00ED41EE">
        <w:t>„</w:t>
      </w:r>
      <w:r>
        <w:t>Přenosné žebříky</w:t>
      </w:r>
      <w:r w:rsidR="00ED41EE">
        <w:t>“</w:t>
      </w:r>
    </w:p>
    <w:p w14:paraId="7AD75E57" w14:textId="77777777" w:rsidR="00DE73EC" w:rsidRDefault="0053197E" w:rsidP="007D5039">
      <w:pPr>
        <w:jc w:val="both"/>
      </w:pPr>
      <w:r>
        <w:t>Provozní předpis ČS PP 001</w:t>
      </w:r>
    </w:p>
    <w:p w14:paraId="334B3880" w14:textId="77777777" w:rsidR="0053197E" w:rsidRDefault="00DE73EC" w:rsidP="007D5039">
      <w:pPr>
        <w:jc w:val="both"/>
        <w:rPr>
          <w:b/>
        </w:rPr>
      </w:pPr>
      <w:r>
        <w:t xml:space="preserve">Provozní předpis ČS </w:t>
      </w:r>
      <w:r w:rsidR="00E714AE">
        <w:t>PP</w:t>
      </w:r>
      <w:r>
        <w:t xml:space="preserve"> </w:t>
      </w:r>
      <w:r w:rsidR="00E714AE">
        <w:t>003</w:t>
      </w:r>
    </w:p>
    <w:p w14:paraId="67C35AF1" w14:textId="77777777" w:rsidR="00102441" w:rsidRDefault="004062AB" w:rsidP="007D5039">
      <w:pPr>
        <w:pStyle w:val="Nadpis1"/>
        <w:numPr>
          <w:ilvl w:val="0"/>
          <w:numId w:val="0"/>
        </w:numPr>
        <w:jc w:val="both"/>
      </w:pPr>
      <w:r w:rsidRPr="008A388F">
        <w:rPr>
          <w:b w:val="0"/>
          <w:color w:val="auto"/>
          <w:kern w:val="0"/>
          <w:sz w:val="20"/>
          <w:szCs w:val="26"/>
        </w:rPr>
        <w:br w:type="page"/>
      </w:r>
      <w:bookmarkStart w:id="26" w:name="_Toc263082330"/>
      <w:bookmarkStart w:id="27" w:name="_Toc70486847"/>
      <w:r w:rsidR="00E14D90" w:rsidRPr="008A388F">
        <w:lastRenderedPageBreak/>
        <w:t>Příloha A</w:t>
      </w:r>
      <w:r w:rsidR="00102441" w:rsidRPr="008A388F">
        <w:tab/>
      </w:r>
      <w:bookmarkEnd w:id="25"/>
      <w:bookmarkEnd w:id="26"/>
      <w:r w:rsidR="00CD614B" w:rsidRPr="008A388F">
        <w:t>Kniha</w:t>
      </w:r>
      <w:r w:rsidR="00E714AE">
        <w:t xml:space="preserve"> závad a</w:t>
      </w:r>
      <w:r w:rsidR="00CD614B" w:rsidRPr="008A388F">
        <w:t xml:space="preserve"> prací</w:t>
      </w:r>
      <w:bookmarkEnd w:id="27"/>
    </w:p>
    <w:p w14:paraId="4C84C497" w14:textId="77777777" w:rsidR="00E714AE" w:rsidRPr="00E714AE" w:rsidRDefault="00C15287" w:rsidP="00033443">
      <w:r>
        <w:rPr>
          <w:noProof/>
          <w:lang w:val="sk-SK" w:eastAsia="sk-SK"/>
        </w:rPr>
        <w:drawing>
          <wp:inline distT="0" distB="0" distL="0" distR="0" wp14:anchorId="2B880FD9" wp14:editId="1DD4C7A2">
            <wp:extent cx="5899785" cy="79241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792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6A40F" w14:textId="77777777" w:rsidR="00AD4A52" w:rsidRDefault="00AD4A52" w:rsidP="00AD4A52"/>
    <w:p w14:paraId="0E8086B4" w14:textId="77777777" w:rsidR="00594C44" w:rsidRDefault="00E14D90" w:rsidP="006A5232">
      <w:pPr>
        <w:pStyle w:val="Nadpis1"/>
        <w:numPr>
          <w:ilvl w:val="0"/>
          <w:numId w:val="0"/>
        </w:numPr>
        <w:tabs>
          <w:tab w:val="clear" w:pos="851"/>
        </w:tabs>
      </w:pPr>
      <w:bookmarkStart w:id="28" w:name="_Toc70486848"/>
      <w:r>
        <w:lastRenderedPageBreak/>
        <w:t>Příloha B</w:t>
      </w:r>
      <w:r w:rsidR="005A6AEE">
        <w:tab/>
        <w:t xml:space="preserve">Formulář </w:t>
      </w:r>
      <w:proofErr w:type="spellStart"/>
      <w:r w:rsidR="005A6AEE">
        <w:t>PkP</w:t>
      </w:r>
      <w:proofErr w:type="spellEnd"/>
      <w:r w:rsidR="005A6AEE">
        <w:t xml:space="preserve"> ( povolení k práci )</w:t>
      </w:r>
      <w:bookmarkStart w:id="29" w:name="_Toc336937417"/>
      <w:bookmarkEnd w:id="28"/>
    </w:p>
    <w:p w14:paraId="73BC6428" w14:textId="77777777" w:rsidR="006A5232" w:rsidRPr="006A5232" w:rsidRDefault="00C15287" w:rsidP="006A5232">
      <w:r w:rsidRPr="00822893">
        <w:rPr>
          <w:noProof/>
          <w:lang w:val="sk-SK" w:eastAsia="sk-SK"/>
        </w:rPr>
        <w:drawing>
          <wp:inline distT="0" distB="0" distL="0" distR="0" wp14:anchorId="06FB567D" wp14:editId="7331BB92">
            <wp:extent cx="4933950" cy="81438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B3849" w14:textId="77777777" w:rsidR="00F20650" w:rsidRDefault="00E14D90" w:rsidP="0080741A">
      <w:pPr>
        <w:pStyle w:val="Nadpis1"/>
        <w:numPr>
          <w:ilvl w:val="0"/>
          <w:numId w:val="0"/>
        </w:numPr>
        <w:tabs>
          <w:tab w:val="clear" w:pos="851"/>
        </w:tabs>
      </w:pPr>
      <w:bookmarkStart w:id="30" w:name="_Toc70486849"/>
      <w:r>
        <w:lastRenderedPageBreak/>
        <w:t>Příloha C</w:t>
      </w:r>
      <w:r w:rsidR="00F20650">
        <w:tab/>
        <w:t>Formulář pro ZPBO (Zvláštní požárně/bezpečnostní opatření)</w:t>
      </w:r>
      <w:bookmarkEnd w:id="29"/>
      <w:bookmarkEnd w:id="30"/>
    </w:p>
    <w:p w14:paraId="4F8B15C5" w14:textId="77777777" w:rsidR="00F20650" w:rsidRDefault="00C15287" w:rsidP="00822893">
      <w:pPr>
        <w:jc w:val="center"/>
      </w:pPr>
      <w:r w:rsidRPr="00822893">
        <w:rPr>
          <w:noProof/>
          <w:lang w:val="sk-SK" w:eastAsia="sk-SK"/>
        </w:rPr>
        <w:drawing>
          <wp:inline distT="0" distB="0" distL="0" distR="0" wp14:anchorId="55F5B8CA" wp14:editId="4EBEF4D3">
            <wp:extent cx="4733925" cy="75533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0AD3" w14:textId="77777777" w:rsidR="00FE160A" w:rsidRDefault="00FE160A" w:rsidP="00FF5BF9">
      <w:pPr>
        <w:rPr>
          <w:b/>
        </w:rPr>
      </w:pPr>
    </w:p>
    <w:p w14:paraId="12DEF57B" w14:textId="77777777" w:rsidR="00102441" w:rsidRDefault="00E14D90" w:rsidP="00F20650">
      <w:pPr>
        <w:pStyle w:val="Nadpis1"/>
        <w:numPr>
          <w:ilvl w:val="0"/>
          <w:numId w:val="0"/>
        </w:numPr>
      </w:pPr>
      <w:bookmarkStart w:id="31" w:name="_Toc70486850"/>
      <w:r>
        <w:rPr>
          <w:szCs w:val="20"/>
        </w:rPr>
        <w:lastRenderedPageBreak/>
        <w:t>Příloha D</w:t>
      </w:r>
      <w:r w:rsidR="00F20650">
        <w:tab/>
      </w:r>
      <w:r w:rsidR="00D45418">
        <w:t>Seznam schválených dokumentací</w:t>
      </w:r>
      <w:bookmarkEnd w:id="31"/>
      <w:r w:rsidR="00D45418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1823"/>
        <w:gridCol w:w="1550"/>
        <w:gridCol w:w="5030"/>
      </w:tblGrid>
      <w:tr w:rsidR="00CA3431" w14:paraId="77AAE7DE" w14:textId="77777777" w:rsidTr="00B325FB">
        <w:tc>
          <w:tcPr>
            <w:tcW w:w="1242" w:type="dxa"/>
          </w:tcPr>
          <w:p w14:paraId="0E7C2556" w14:textId="77777777" w:rsidR="00CA3431" w:rsidRDefault="00CA3431" w:rsidP="00B325FB">
            <w:pPr>
              <w:jc w:val="both"/>
            </w:pPr>
            <w:r>
              <w:t>Platí od</w:t>
            </w:r>
          </w:p>
        </w:tc>
        <w:tc>
          <w:tcPr>
            <w:tcW w:w="1843" w:type="dxa"/>
          </w:tcPr>
          <w:p w14:paraId="4BB109D1" w14:textId="77777777" w:rsidR="00CA3431" w:rsidRDefault="00CA3431" w:rsidP="00B325FB">
            <w:pPr>
              <w:jc w:val="both"/>
            </w:pPr>
            <w:r>
              <w:t>Zhotovitel</w:t>
            </w:r>
          </w:p>
        </w:tc>
        <w:tc>
          <w:tcPr>
            <w:tcW w:w="1559" w:type="dxa"/>
          </w:tcPr>
          <w:p w14:paraId="61D26BE5" w14:textId="77777777" w:rsidR="00CA3431" w:rsidRDefault="00CA3431" w:rsidP="00B325FB">
            <w:pPr>
              <w:jc w:val="both"/>
            </w:pPr>
            <w:r>
              <w:t>Číslo dokumentu</w:t>
            </w:r>
          </w:p>
        </w:tc>
        <w:tc>
          <w:tcPr>
            <w:tcW w:w="5134" w:type="dxa"/>
          </w:tcPr>
          <w:p w14:paraId="60820948" w14:textId="77777777" w:rsidR="00CA3431" w:rsidRDefault="00CA3431" w:rsidP="00B325FB">
            <w:pPr>
              <w:jc w:val="both"/>
            </w:pPr>
            <w:r>
              <w:t>Název dokumentu – popis činnosti</w:t>
            </w:r>
          </w:p>
        </w:tc>
      </w:tr>
      <w:tr w:rsidR="00CA3431" w14:paraId="7997BBB9" w14:textId="77777777" w:rsidTr="00B325FB">
        <w:tc>
          <w:tcPr>
            <w:tcW w:w="1242" w:type="dxa"/>
          </w:tcPr>
          <w:p w14:paraId="728E323F" w14:textId="77777777" w:rsidR="00CA3431" w:rsidRDefault="00CA3431" w:rsidP="00FF5BF9"/>
        </w:tc>
        <w:tc>
          <w:tcPr>
            <w:tcW w:w="1843" w:type="dxa"/>
          </w:tcPr>
          <w:p w14:paraId="542A8BCE" w14:textId="77777777" w:rsidR="00CA3431" w:rsidRDefault="00CA3431" w:rsidP="00FF5BF9"/>
        </w:tc>
        <w:tc>
          <w:tcPr>
            <w:tcW w:w="1559" w:type="dxa"/>
          </w:tcPr>
          <w:p w14:paraId="7F422D7B" w14:textId="77777777" w:rsidR="00CA3431" w:rsidRDefault="00CA3431" w:rsidP="00FF5BF9"/>
        </w:tc>
        <w:tc>
          <w:tcPr>
            <w:tcW w:w="5134" w:type="dxa"/>
          </w:tcPr>
          <w:p w14:paraId="28D7CB1C" w14:textId="77777777" w:rsidR="00CA3431" w:rsidRDefault="00CA3431" w:rsidP="00FF5BF9"/>
        </w:tc>
      </w:tr>
      <w:tr w:rsidR="00CA3431" w14:paraId="7C1E6A45" w14:textId="77777777" w:rsidTr="00B325FB">
        <w:tc>
          <w:tcPr>
            <w:tcW w:w="1242" w:type="dxa"/>
          </w:tcPr>
          <w:p w14:paraId="4D099E25" w14:textId="77777777" w:rsidR="00CA3431" w:rsidRDefault="00CA3431" w:rsidP="00FF5BF9"/>
        </w:tc>
        <w:tc>
          <w:tcPr>
            <w:tcW w:w="1843" w:type="dxa"/>
          </w:tcPr>
          <w:p w14:paraId="0504C7B0" w14:textId="77777777" w:rsidR="00CA3431" w:rsidRDefault="00CA3431" w:rsidP="00FF5BF9"/>
        </w:tc>
        <w:tc>
          <w:tcPr>
            <w:tcW w:w="1559" w:type="dxa"/>
          </w:tcPr>
          <w:p w14:paraId="236D610A" w14:textId="77777777" w:rsidR="00CA3431" w:rsidRDefault="00CA3431" w:rsidP="00FF5BF9"/>
        </w:tc>
        <w:tc>
          <w:tcPr>
            <w:tcW w:w="5134" w:type="dxa"/>
          </w:tcPr>
          <w:p w14:paraId="363075A7" w14:textId="77777777" w:rsidR="00CA3431" w:rsidRDefault="00CA3431" w:rsidP="00FF5BF9"/>
        </w:tc>
      </w:tr>
      <w:tr w:rsidR="00CA3431" w14:paraId="777C96AF" w14:textId="77777777" w:rsidTr="00B325FB">
        <w:tc>
          <w:tcPr>
            <w:tcW w:w="1242" w:type="dxa"/>
          </w:tcPr>
          <w:p w14:paraId="35DFDAC5" w14:textId="77777777" w:rsidR="00CA3431" w:rsidRDefault="00CA3431" w:rsidP="00FF5BF9"/>
        </w:tc>
        <w:tc>
          <w:tcPr>
            <w:tcW w:w="1843" w:type="dxa"/>
          </w:tcPr>
          <w:p w14:paraId="67D87B39" w14:textId="77777777" w:rsidR="00CA3431" w:rsidRDefault="00CA3431" w:rsidP="00FF5BF9"/>
        </w:tc>
        <w:tc>
          <w:tcPr>
            <w:tcW w:w="1559" w:type="dxa"/>
          </w:tcPr>
          <w:p w14:paraId="76FC3ABB" w14:textId="77777777" w:rsidR="00CA3431" w:rsidRDefault="00CA3431" w:rsidP="00FF5BF9"/>
        </w:tc>
        <w:tc>
          <w:tcPr>
            <w:tcW w:w="5134" w:type="dxa"/>
          </w:tcPr>
          <w:p w14:paraId="45660FE5" w14:textId="77777777" w:rsidR="00CA3431" w:rsidRDefault="00CA3431" w:rsidP="00FF5BF9"/>
        </w:tc>
      </w:tr>
      <w:tr w:rsidR="00CA3431" w14:paraId="3D84C741" w14:textId="77777777" w:rsidTr="00B325FB">
        <w:tc>
          <w:tcPr>
            <w:tcW w:w="1242" w:type="dxa"/>
          </w:tcPr>
          <w:p w14:paraId="01ADB742" w14:textId="77777777" w:rsidR="00CA3431" w:rsidRDefault="00CA3431" w:rsidP="00FF5BF9"/>
        </w:tc>
        <w:tc>
          <w:tcPr>
            <w:tcW w:w="1843" w:type="dxa"/>
          </w:tcPr>
          <w:p w14:paraId="005BFFE0" w14:textId="77777777" w:rsidR="00CA3431" w:rsidRDefault="00CA3431" w:rsidP="00FF5BF9"/>
        </w:tc>
        <w:tc>
          <w:tcPr>
            <w:tcW w:w="1559" w:type="dxa"/>
          </w:tcPr>
          <w:p w14:paraId="6473DDE3" w14:textId="77777777" w:rsidR="00CA3431" w:rsidRDefault="00CA3431" w:rsidP="00FF5BF9"/>
        </w:tc>
        <w:tc>
          <w:tcPr>
            <w:tcW w:w="5134" w:type="dxa"/>
          </w:tcPr>
          <w:p w14:paraId="4C143011" w14:textId="77777777" w:rsidR="00CA3431" w:rsidRDefault="00CA3431" w:rsidP="00FF5BF9"/>
        </w:tc>
      </w:tr>
      <w:tr w:rsidR="00CA3431" w14:paraId="22878A24" w14:textId="77777777" w:rsidTr="00B325FB">
        <w:tc>
          <w:tcPr>
            <w:tcW w:w="1242" w:type="dxa"/>
          </w:tcPr>
          <w:p w14:paraId="29DCE29B" w14:textId="77777777" w:rsidR="00CA3431" w:rsidRDefault="00CA3431" w:rsidP="00FF5BF9"/>
        </w:tc>
        <w:tc>
          <w:tcPr>
            <w:tcW w:w="1843" w:type="dxa"/>
          </w:tcPr>
          <w:p w14:paraId="19EE0D8E" w14:textId="77777777" w:rsidR="00CA3431" w:rsidRDefault="00CA3431" w:rsidP="00FF5BF9"/>
        </w:tc>
        <w:tc>
          <w:tcPr>
            <w:tcW w:w="1559" w:type="dxa"/>
          </w:tcPr>
          <w:p w14:paraId="5C8AD1BB" w14:textId="77777777" w:rsidR="00CA3431" w:rsidRDefault="00CA3431" w:rsidP="00FF5BF9"/>
        </w:tc>
        <w:tc>
          <w:tcPr>
            <w:tcW w:w="5134" w:type="dxa"/>
          </w:tcPr>
          <w:p w14:paraId="549CE845" w14:textId="77777777" w:rsidR="00CA3431" w:rsidRDefault="00CA3431" w:rsidP="00FF5BF9"/>
        </w:tc>
      </w:tr>
      <w:tr w:rsidR="00CA3431" w14:paraId="73216044" w14:textId="77777777" w:rsidTr="00B325FB">
        <w:tc>
          <w:tcPr>
            <w:tcW w:w="1242" w:type="dxa"/>
          </w:tcPr>
          <w:p w14:paraId="44CB5035" w14:textId="77777777" w:rsidR="00CA3431" w:rsidRDefault="00CA3431" w:rsidP="00FF5BF9"/>
        </w:tc>
        <w:tc>
          <w:tcPr>
            <w:tcW w:w="1843" w:type="dxa"/>
          </w:tcPr>
          <w:p w14:paraId="46D0E5E2" w14:textId="77777777" w:rsidR="00CA3431" w:rsidRDefault="00CA3431" w:rsidP="00FF5BF9"/>
        </w:tc>
        <w:tc>
          <w:tcPr>
            <w:tcW w:w="1559" w:type="dxa"/>
          </w:tcPr>
          <w:p w14:paraId="570FE6C4" w14:textId="77777777" w:rsidR="00CA3431" w:rsidRDefault="00CA3431" w:rsidP="00FF5BF9"/>
        </w:tc>
        <w:tc>
          <w:tcPr>
            <w:tcW w:w="5134" w:type="dxa"/>
          </w:tcPr>
          <w:p w14:paraId="1814DAFA" w14:textId="77777777" w:rsidR="00CA3431" w:rsidRDefault="00CA3431" w:rsidP="00FF5BF9"/>
        </w:tc>
      </w:tr>
      <w:tr w:rsidR="00CA3431" w14:paraId="7B2661AE" w14:textId="77777777" w:rsidTr="00B325FB">
        <w:tc>
          <w:tcPr>
            <w:tcW w:w="1242" w:type="dxa"/>
          </w:tcPr>
          <w:p w14:paraId="6276FA6D" w14:textId="77777777" w:rsidR="00CA3431" w:rsidRDefault="00CA3431" w:rsidP="00FF5BF9"/>
        </w:tc>
        <w:tc>
          <w:tcPr>
            <w:tcW w:w="1843" w:type="dxa"/>
          </w:tcPr>
          <w:p w14:paraId="09720CD4" w14:textId="77777777" w:rsidR="00CA3431" w:rsidRDefault="00CA3431" w:rsidP="00FF5BF9"/>
        </w:tc>
        <w:tc>
          <w:tcPr>
            <w:tcW w:w="1559" w:type="dxa"/>
          </w:tcPr>
          <w:p w14:paraId="7762E3B3" w14:textId="77777777" w:rsidR="00CA3431" w:rsidRDefault="00CA3431" w:rsidP="00FF5BF9"/>
        </w:tc>
        <w:tc>
          <w:tcPr>
            <w:tcW w:w="5134" w:type="dxa"/>
          </w:tcPr>
          <w:p w14:paraId="27C63D32" w14:textId="77777777" w:rsidR="00CA3431" w:rsidRDefault="00CA3431" w:rsidP="00FF5BF9"/>
        </w:tc>
      </w:tr>
    </w:tbl>
    <w:p w14:paraId="0A7E4B19" w14:textId="77777777" w:rsidR="00EC61AB" w:rsidRDefault="00EC61AB" w:rsidP="00FF5BF9"/>
    <w:p w14:paraId="2A13AD5D" w14:textId="77777777" w:rsidR="00EC61AB" w:rsidRPr="004154BC" w:rsidRDefault="00E14D90" w:rsidP="004154BC">
      <w:pPr>
        <w:pStyle w:val="Nadpis1"/>
        <w:numPr>
          <w:ilvl w:val="0"/>
          <w:numId w:val="0"/>
        </w:numPr>
        <w:rPr>
          <w:szCs w:val="20"/>
        </w:rPr>
      </w:pPr>
      <w:bookmarkStart w:id="32" w:name="_Toc210190010"/>
      <w:bookmarkStart w:id="33" w:name="_Toc70486851"/>
      <w:r w:rsidRPr="004154BC">
        <w:rPr>
          <w:szCs w:val="20"/>
        </w:rPr>
        <w:t>Příloha E</w:t>
      </w:r>
      <w:bookmarkEnd w:id="32"/>
      <w:r w:rsidR="00ED41EE">
        <w:rPr>
          <w:szCs w:val="20"/>
        </w:rPr>
        <w:tab/>
      </w:r>
      <w:r w:rsidR="000F61B2" w:rsidRPr="004154BC">
        <w:rPr>
          <w:szCs w:val="20"/>
        </w:rPr>
        <w:t>Manuál pro</w:t>
      </w:r>
      <w:r w:rsidR="00AC32DC" w:rsidRPr="004154BC">
        <w:rPr>
          <w:szCs w:val="20"/>
        </w:rPr>
        <w:t xml:space="preserve"> vyplňování formulářů</w:t>
      </w:r>
      <w:bookmarkEnd w:id="33"/>
    </w:p>
    <w:p w14:paraId="4FEE93DD" w14:textId="77777777" w:rsidR="00AC32DC" w:rsidRDefault="00675453" w:rsidP="00AC32DC">
      <w:r>
        <w:t>Formuláře se vyplňují:</w:t>
      </w:r>
    </w:p>
    <w:p w14:paraId="0EAB5F47" w14:textId="77777777" w:rsidR="00675453" w:rsidRPr="00AC32DC" w:rsidRDefault="00675453" w:rsidP="007D5039">
      <w:pPr>
        <w:jc w:val="both"/>
      </w:pPr>
      <w:r>
        <w:t xml:space="preserve">Zaškrtnutím/zakřížkováním příslušného okénka vlevo od relevantního pojmu, příp. dopsáním požadovaných údajů vpravo </w:t>
      </w:r>
      <w:r w:rsidR="003D171A">
        <w:t>nebo pod relevantním pojmem. Tam, kde je to ve formuláři uvedeno, se neplatné požadavky viditelně přeškrtnou.</w:t>
      </w:r>
    </w:p>
    <w:p w14:paraId="5F72E009" w14:textId="77777777" w:rsidR="00EC61AB" w:rsidRDefault="000F61B2" w:rsidP="00FF5BF9">
      <w:r>
        <w:t xml:space="preserve">Formulář </w:t>
      </w:r>
      <w:proofErr w:type="spellStart"/>
      <w:r>
        <w:t>PkP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677"/>
      </w:tblGrid>
      <w:tr w:rsidR="00A75CEC" w14:paraId="0EC48690" w14:textId="77777777" w:rsidTr="00197E25">
        <w:tc>
          <w:tcPr>
            <w:tcW w:w="1101" w:type="dxa"/>
          </w:tcPr>
          <w:p w14:paraId="5509B0C7" w14:textId="77777777" w:rsidR="00A75CEC" w:rsidRDefault="00A75CEC" w:rsidP="007D5039">
            <w:pPr>
              <w:jc w:val="both"/>
            </w:pPr>
            <w:r>
              <w:t>Č</w:t>
            </w:r>
            <w:r w:rsidR="00400F92">
              <w:t xml:space="preserve">íslo </w:t>
            </w:r>
            <w:r>
              <w:t>kolonky</w:t>
            </w:r>
          </w:p>
        </w:tc>
        <w:tc>
          <w:tcPr>
            <w:tcW w:w="8677" w:type="dxa"/>
          </w:tcPr>
          <w:p w14:paraId="6FCFB7A1" w14:textId="77777777" w:rsidR="00A75CEC" w:rsidRDefault="00A75CEC" w:rsidP="007D5039">
            <w:pPr>
              <w:jc w:val="both"/>
            </w:pPr>
            <w:r>
              <w:t>Způsob vyplnění</w:t>
            </w:r>
          </w:p>
        </w:tc>
      </w:tr>
      <w:tr w:rsidR="00A75CEC" w14:paraId="24BF9EC5" w14:textId="77777777" w:rsidTr="00197E25">
        <w:tc>
          <w:tcPr>
            <w:tcW w:w="1101" w:type="dxa"/>
          </w:tcPr>
          <w:p w14:paraId="246B0B85" w14:textId="77777777" w:rsidR="00A75CEC" w:rsidRDefault="00DB05D0" w:rsidP="007D5039">
            <w:pPr>
              <w:jc w:val="both"/>
            </w:pPr>
            <w:r>
              <w:t>1</w:t>
            </w:r>
            <w:r w:rsidR="00FE160A">
              <w:t xml:space="preserve"> </w:t>
            </w:r>
          </w:p>
        </w:tc>
        <w:tc>
          <w:tcPr>
            <w:tcW w:w="8677" w:type="dxa"/>
          </w:tcPr>
          <w:p w14:paraId="39A5B28D" w14:textId="77777777" w:rsidR="00A75CEC" w:rsidRDefault="00FE160A" w:rsidP="007D5039">
            <w:pPr>
              <w:jc w:val="both"/>
            </w:pPr>
            <w:r w:rsidRPr="00FE160A">
              <w:rPr>
                <w:b/>
              </w:rPr>
              <w:t xml:space="preserve">Číslo </w:t>
            </w:r>
            <w:r>
              <w:t xml:space="preserve">- </w:t>
            </w:r>
            <w:r w:rsidR="002D4FEB">
              <w:t>Vystavovatel</w:t>
            </w:r>
            <w:r>
              <w:t xml:space="preserve"> uvede číslo povolení, které musí být uvedeno zároveň na všech přílohách. Formát číslování je uveden v čl. 4.3.2. Vlastní kód </w:t>
            </w:r>
            <w:r w:rsidR="002D4FEB">
              <w:t>Vystavovatel</w:t>
            </w:r>
            <w:r>
              <w:t xml:space="preserve">e si zvolí každý </w:t>
            </w:r>
            <w:r w:rsidR="002D4FEB">
              <w:t>Vystavovatel</w:t>
            </w:r>
            <w:r>
              <w:t xml:space="preserve"> libovolně např. použije svůj monogram, zkratku jména apod.</w:t>
            </w:r>
          </w:p>
        </w:tc>
      </w:tr>
      <w:tr w:rsidR="00400F92" w14:paraId="1F5190C1" w14:textId="77777777" w:rsidTr="00197E25">
        <w:tc>
          <w:tcPr>
            <w:tcW w:w="1101" w:type="dxa"/>
          </w:tcPr>
          <w:p w14:paraId="663AB359" w14:textId="77777777" w:rsidR="00400F92" w:rsidRDefault="00FE160A" w:rsidP="007D5039">
            <w:pPr>
              <w:jc w:val="both"/>
            </w:pPr>
            <w:r>
              <w:t xml:space="preserve">2 </w:t>
            </w:r>
          </w:p>
        </w:tc>
        <w:tc>
          <w:tcPr>
            <w:tcW w:w="8677" w:type="dxa"/>
          </w:tcPr>
          <w:p w14:paraId="74FF379E" w14:textId="77777777" w:rsidR="00A630B9" w:rsidRDefault="00A630B9" w:rsidP="007D5039">
            <w:pPr>
              <w:jc w:val="both"/>
            </w:pPr>
            <w:r w:rsidRPr="00921F8B">
              <w:rPr>
                <w:b/>
              </w:rPr>
              <w:t xml:space="preserve">Zhotovitel </w:t>
            </w:r>
            <w:r>
              <w:rPr>
                <w:b/>
              </w:rPr>
              <w:t>–</w:t>
            </w:r>
            <w:r w:rsidRPr="00921F8B">
              <w:rPr>
                <w:b/>
              </w:rPr>
              <w:t xml:space="preserve"> </w:t>
            </w:r>
            <w:r>
              <w:t>Vystavovatel</w:t>
            </w:r>
            <w:r w:rsidRPr="00921F8B">
              <w:t xml:space="preserve"> uvede název společnosti</w:t>
            </w:r>
            <w:r>
              <w:t xml:space="preserve"> </w:t>
            </w:r>
            <w:r w:rsidRPr="00921F8B">
              <w:t>/</w:t>
            </w:r>
            <w:r>
              <w:t xml:space="preserve"> </w:t>
            </w:r>
            <w:r w:rsidRPr="00921F8B">
              <w:t xml:space="preserve">jméno podnikající </w:t>
            </w:r>
            <w:proofErr w:type="spellStart"/>
            <w:r w:rsidRPr="00921F8B">
              <w:t>fyz</w:t>
            </w:r>
            <w:proofErr w:type="spellEnd"/>
            <w:r w:rsidRPr="00921F8B">
              <w:t>. osoby provádějící práce</w:t>
            </w:r>
          </w:p>
          <w:p w14:paraId="7E05A3E0" w14:textId="77777777" w:rsidR="00400F92" w:rsidRDefault="00FE160A" w:rsidP="007D5039">
            <w:pPr>
              <w:jc w:val="both"/>
            </w:pPr>
            <w:r w:rsidRPr="00FE160A">
              <w:rPr>
                <w:b/>
              </w:rPr>
              <w:t>Popis práce</w:t>
            </w:r>
            <w:r>
              <w:t xml:space="preserve"> - </w:t>
            </w:r>
            <w:r w:rsidR="002D4FEB">
              <w:t>Vystavovatel</w:t>
            </w:r>
            <w:r>
              <w:t xml:space="preserve"> co nejpřesněji popíše prováděnou činnost</w:t>
            </w:r>
          </w:p>
          <w:p w14:paraId="396CD5C4" w14:textId="77777777" w:rsidR="00FE160A" w:rsidRPr="00FE160A" w:rsidRDefault="00FE160A" w:rsidP="007D5039">
            <w:pPr>
              <w:jc w:val="both"/>
            </w:pPr>
            <w:r w:rsidRPr="00FE160A">
              <w:rPr>
                <w:b/>
              </w:rPr>
              <w:t>Práce na ČS č.</w:t>
            </w:r>
            <w:r>
              <w:rPr>
                <w:b/>
              </w:rPr>
              <w:t xml:space="preserve"> – </w:t>
            </w:r>
            <w:r w:rsidR="002D4FEB">
              <w:t>Vystavovatel</w:t>
            </w:r>
            <w:r>
              <w:t xml:space="preserve"> uvede identifikační číslo ČS</w:t>
            </w:r>
          </w:p>
        </w:tc>
      </w:tr>
      <w:tr w:rsidR="00400F92" w14:paraId="1FE52CED" w14:textId="77777777" w:rsidTr="00197E25">
        <w:tc>
          <w:tcPr>
            <w:tcW w:w="1101" w:type="dxa"/>
          </w:tcPr>
          <w:p w14:paraId="172AF9B5" w14:textId="77777777" w:rsidR="00400F92" w:rsidRDefault="00FE160A" w:rsidP="007D5039">
            <w:pPr>
              <w:jc w:val="both"/>
            </w:pPr>
            <w:r>
              <w:t xml:space="preserve">3 </w:t>
            </w:r>
          </w:p>
        </w:tc>
        <w:tc>
          <w:tcPr>
            <w:tcW w:w="8677" w:type="dxa"/>
          </w:tcPr>
          <w:p w14:paraId="66BA5411" w14:textId="77777777" w:rsidR="00400F92" w:rsidRDefault="00FE160A" w:rsidP="007D5039">
            <w:pPr>
              <w:jc w:val="both"/>
            </w:pPr>
            <w:r w:rsidRPr="00FE160A">
              <w:rPr>
                <w:b/>
              </w:rPr>
              <w:t xml:space="preserve">Povolení platí od / do </w:t>
            </w:r>
            <w:r>
              <w:rPr>
                <w:b/>
              </w:rPr>
              <w:t xml:space="preserve"> - </w:t>
            </w:r>
            <w:r w:rsidR="002D4FEB">
              <w:t>Vystavovatel</w:t>
            </w:r>
            <w:r>
              <w:t xml:space="preserve"> určí časový rámec pro provedení požadovaných prací. Mimo tento rámec </w:t>
            </w:r>
            <w:proofErr w:type="spellStart"/>
            <w:r>
              <w:t>PkP</w:t>
            </w:r>
            <w:proofErr w:type="spellEnd"/>
            <w:r>
              <w:t xml:space="preserve"> neplatí a práce nesmí být prováděny </w:t>
            </w:r>
          </w:p>
          <w:p w14:paraId="1537FCAD" w14:textId="77777777" w:rsidR="00A630B9" w:rsidRPr="00921F8B" w:rsidRDefault="00A630B9" w:rsidP="007D5039">
            <w:pPr>
              <w:jc w:val="both"/>
              <w:rPr>
                <w:b/>
              </w:rPr>
            </w:pPr>
            <w:r w:rsidRPr="00A630B9">
              <w:rPr>
                <w:b/>
              </w:rPr>
              <w:t>Koordinátor</w:t>
            </w:r>
            <w:r>
              <w:t xml:space="preserve"> – uvede se jméno  a telefon osoby pověřené koordinací činností dle čl. 4.4.8 nebo se proškrtne, pokud není relevantní</w:t>
            </w:r>
          </w:p>
        </w:tc>
      </w:tr>
      <w:tr w:rsidR="00400F92" w14:paraId="071372D9" w14:textId="77777777" w:rsidTr="00197E25">
        <w:tc>
          <w:tcPr>
            <w:tcW w:w="1101" w:type="dxa"/>
          </w:tcPr>
          <w:p w14:paraId="35F93CCA" w14:textId="77777777" w:rsidR="00400F92" w:rsidRDefault="00921F8B" w:rsidP="007D5039">
            <w:pPr>
              <w:jc w:val="both"/>
            </w:pPr>
            <w:r>
              <w:t>4</w:t>
            </w:r>
          </w:p>
        </w:tc>
        <w:tc>
          <w:tcPr>
            <w:tcW w:w="8677" w:type="dxa"/>
          </w:tcPr>
          <w:p w14:paraId="359DF02B" w14:textId="77777777" w:rsidR="00C9154B" w:rsidRDefault="00921F8B" w:rsidP="007D5039">
            <w:pPr>
              <w:jc w:val="both"/>
            </w:pPr>
            <w:r w:rsidRPr="00C9154B">
              <w:rPr>
                <w:b/>
              </w:rPr>
              <w:t>Druh práce</w:t>
            </w:r>
            <w:r>
              <w:t xml:space="preserve"> – Zhotovitel na základě svých znalostí nebo v dohodě se zhotovitelem označí </w:t>
            </w:r>
            <w:r w:rsidR="00C9154B">
              <w:t>všechny druhy prací relevantní pro danou činnost dle definic uvedených v čl. 4.8</w:t>
            </w:r>
          </w:p>
        </w:tc>
      </w:tr>
      <w:tr w:rsidR="00400F92" w14:paraId="00FCCD97" w14:textId="77777777" w:rsidTr="00197E25">
        <w:tc>
          <w:tcPr>
            <w:tcW w:w="1101" w:type="dxa"/>
          </w:tcPr>
          <w:p w14:paraId="10299E6A" w14:textId="77777777" w:rsidR="00400F92" w:rsidRDefault="00C9154B" w:rsidP="007D5039">
            <w:pPr>
              <w:jc w:val="both"/>
            </w:pPr>
            <w:r>
              <w:t>5</w:t>
            </w:r>
          </w:p>
        </w:tc>
        <w:tc>
          <w:tcPr>
            <w:tcW w:w="8677" w:type="dxa"/>
          </w:tcPr>
          <w:p w14:paraId="27AF0919" w14:textId="77777777" w:rsidR="00400F92" w:rsidRDefault="00C9154B" w:rsidP="007D5039">
            <w:pPr>
              <w:jc w:val="both"/>
            </w:pPr>
            <w:r w:rsidRPr="00C9154B">
              <w:rPr>
                <w:b/>
              </w:rPr>
              <w:t>Prostor</w:t>
            </w:r>
            <w:r>
              <w:t xml:space="preserve"> – Zhotovitel určí druh prostoru, v němž bude činnost prováděna na základě definic uvedených v čl. 4.7</w:t>
            </w:r>
          </w:p>
        </w:tc>
      </w:tr>
      <w:tr w:rsidR="00400F92" w14:paraId="1305B0A0" w14:textId="77777777" w:rsidTr="00197E25">
        <w:tc>
          <w:tcPr>
            <w:tcW w:w="1101" w:type="dxa"/>
          </w:tcPr>
          <w:p w14:paraId="7D67D499" w14:textId="77777777" w:rsidR="00400F92" w:rsidRDefault="00C9154B" w:rsidP="007D5039">
            <w:pPr>
              <w:jc w:val="both"/>
            </w:pPr>
            <w:r>
              <w:t>6</w:t>
            </w:r>
          </w:p>
        </w:tc>
        <w:tc>
          <w:tcPr>
            <w:tcW w:w="8677" w:type="dxa"/>
          </w:tcPr>
          <w:p w14:paraId="1353DB03" w14:textId="77777777" w:rsidR="00400F92" w:rsidRDefault="00C9154B" w:rsidP="007D5039">
            <w:pPr>
              <w:jc w:val="both"/>
            </w:pPr>
            <w:r w:rsidRPr="00C9154B">
              <w:rPr>
                <w:b/>
              </w:rPr>
              <w:t>Odpojení energií</w:t>
            </w:r>
            <w:r>
              <w:t xml:space="preserve"> – je-li v souvislosti s prováděnou činností nezbytné odpojit přívod energií, označí se příslušný druh a uvede se místo a způsob odpojení, příp. zajištění</w:t>
            </w:r>
          </w:p>
        </w:tc>
      </w:tr>
      <w:tr w:rsidR="00400F92" w14:paraId="53E53C60" w14:textId="77777777" w:rsidTr="00197E25">
        <w:tc>
          <w:tcPr>
            <w:tcW w:w="1101" w:type="dxa"/>
          </w:tcPr>
          <w:p w14:paraId="5C5595E2" w14:textId="77777777" w:rsidR="00400F92" w:rsidRDefault="00C9154B" w:rsidP="007D5039">
            <w:pPr>
              <w:jc w:val="both"/>
            </w:pPr>
            <w:r>
              <w:t>7</w:t>
            </w:r>
          </w:p>
        </w:tc>
        <w:tc>
          <w:tcPr>
            <w:tcW w:w="8677" w:type="dxa"/>
          </w:tcPr>
          <w:p w14:paraId="5A63DBF0" w14:textId="77777777" w:rsidR="00400F92" w:rsidRDefault="00C9154B" w:rsidP="007D5039">
            <w:pPr>
              <w:jc w:val="both"/>
            </w:pPr>
            <w:r w:rsidRPr="00304255">
              <w:rPr>
                <w:b/>
              </w:rPr>
              <w:t>Zabezpečení pracoviště</w:t>
            </w:r>
            <w:r>
              <w:t xml:space="preserve"> – slouží zejména k zamezení vstupu nepovolaných osob a / nebo vjezdu vozidel do prostoru, v němž by mohlo dojít k ohrožení zdraví či majetku </w:t>
            </w:r>
            <w:r w:rsidR="00304255">
              <w:t>v souvislosti s prováděnou činností.</w:t>
            </w:r>
          </w:p>
          <w:p w14:paraId="43F9620D" w14:textId="77777777" w:rsidR="00C9154B" w:rsidRDefault="00304255" w:rsidP="007D5039">
            <w:pPr>
              <w:jc w:val="both"/>
            </w:pPr>
            <w:r w:rsidRPr="00304255">
              <w:rPr>
                <w:b/>
              </w:rPr>
              <w:t>Dozor</w:t>
            </w:r>
            <w:r>
              <w:t xml:space="preserve"> – počet osob – kromě označení pole se uvede číslicí počet osob, které dozor budou současně provádět. Tyto osoby nesmí provádět jinou činnost. Dozor je oprávněn vykázat osoby z chráněného prostoru a na nezbytně nutnou dobu v případě ohrožení zdraví osob a majetku přerušit probíhající činnost</w:t>
            </w:r>
          </w:p>
          <w:p w14:paraId="51335AB9" w14:textId="77777777" w:rsidR="00304255" w:rsidRDefault="00304255" w:rsidP="007D5039">
            <w:pPr>
              <w:jc w:val="both"/>
            </w:pPr>
            <w:r w:rsidRPr="00304255">
              <w:rPr>
                <w:b/>
              </w:rPr>
              <w:lastRenderedPageBreak/>
              <w:t>Vytyčovací páska / kužely</w:t>
            </w:r>
            <w:r>
              <w:t xml:space="preserve"> – označí se v případě použití tohoto způsobu zabezpečení</w:t>
            </w:r>
          </w:p>
          <w:p w14:paraId="3A2C486B" w14:textId="77777777" w:rsidR="00304255" w:rsidRDefault="00304255" w:rsidP="007D5039">
            <w:pPr>
              <w:jc w:val="both"/>
            </w:pPr>
            <w:r w:rsidRPr="00304255">
              <w:rPr>
                <w:b/>
              </w:rPr>
              <w:t>Pevná zábrana</w:t>
            </w:r>
            <w:r>
              <w:t xml:space="preserve"> - označí se v případě použití tohoto způsobu zabezpečení – používá se zejména pro zabránění pádu osob do nezakrytých otvorů, výkopů apod.</w:t>
            </w:r>
          </w:p>
          <w:p w14:paraId="4FE30936" w14:textId="77777777" w:rsidR="00304255" w:rsidRDefault="00304255" w:rsidP="007D5039">
            <w:pPr>
              <w:jc w:val="both"/>
            </w:pPr>
            <w:r w:rsidRPr="00304255">
              <w:rPr>
                <w:b/>
              </w:rPr>
              <w:t>Neprůhledné zakrytí</w:t>
            </w:r>
            <w:r>
              <w:t xml:space="preserve"> - označí se v případě použití tohoto způsobu zabezpečení. Používá se zejména jako ochrana proti ozařování okolí, proti šíření prachu z pracoviště apod.</w:t>
            </w:r>
          </w:p>
        </w:tc>
      </w:tr>
      <w:tr w:rsidR="00400F92" w14:paraId="756EF0DB" w14:textId="77777777" w:rsidTr="00197E25">
        <w:tc>
          <w:tcPr>
            <w:tcW w:w="1101" w:type="dxa"/>
          </w:tcPr>
          <w:p w14:paraId="1C4A0DF6" w14:textId="77777777" w:rsidR="00400F92" w:rsidRDefault="00304255" w:rsidP="00197E25">
            <w:pPr>
              <w:jc w:val="right"/>
            </w:pPr>
            <w:r>
              <w:lastRenderedPageBreak/>
              <w:t>8</w:t>
            </w:r>
          </w:p>
        </w:tc>
        <w:tc>
          <w:tcPr>
            <w:tcW w:w="8677" w:type="dxa"/>
          </w:tcPr>
          <w:p w14:paraId="60065D19" w14:textId="77777777" w:rsidR="00400F92" w:rsidRDefault="00304255" w:rsidP="007D5039">
            <w:pPr>
              <w:jc w:val="both"/>
            </w:pPr>
            <w:r w:rsidRPr="00304255">
              <w:rPr>
                <w:b/>
              </w:rPr>
              <w:t>Ochrana proti výbuchu</w:t>
            </w:r>
            <w:r>
              <w:rPr>
                <w:b/>
              </w:rPr>
              <w:t xml:space="preserve"> – </w:t>
            </w:r>
            <w:r>
              <w:t>označí se</w:t>
            </w:r>
            <w:r w:rsidR="00675453">
              <w:t xml:space="preserve"> v případě, že činnost probíhá zcela nebo částečně v prostředí s nebezpečím výbuchu definovaném v čl. 4.7.1</w:t>
            </w:r>
          </w:p>
          <w:p w14:paraId="6F2E73E7" w14:textId="77777777" w:rsidR="00675453" w:rsidRDefault="00675453" w:rsidP="007D5039">
            <w:pPr>
              <w:jc w:val="both"/>
            </w:pPr>
            <w:r w:rsidRPr="00675453">
              <w:rPr>
                <w:b/>
              </w:rPr>
              <w:t>Trvalá analýza</w:t>
            </w:r>
            <w:r>
              <w:t xml:space="preserve"> – vždy, když nejsou používány výhradně nejiskřivé prostředky</w:t>
            </w:r>
          </w:p>
          <w:p w14:paraId="64214D5E" w14:textId="77777777" w:rsidR="00675453" w:rsidRDefault="00675453" w:rsidP="007D5039">
            <w:pPr>
              <w:jc w:val="both"/>
            </w:pPr>
            <w:r w:rsidRPr="00675453">
              <w:rPr>
                <w:b/>
              </w:rPr>
              <w:t xml:space="preserve">Antistatický nehořlavý pracovní </w:t>
            </w:r>
            <w:proofErr w:type="spellStart"/>
            <w:r w:rsidRPr="00675453">
              <w:rPr>
                <w:b/>
              </w:rPr>
              <w:t>oděv+antistatická</w:t>
            </w:r>
            <w:proofErr w:type="spellEnd"/>
            <w:r w:rsidRPr="00675453">
              <w:rPr>
                <w:b/>
              </w:rPr>
              <w:t xml:space="preserve"> obuv</w:t>
            </w:r>
            <w:r>
              <w:t xml:space="preserve"> – vždy</w:t>
            </w:r>
          </w:p>
          <w:p w14:paraId="6CA1F114" w14:textId="77777777" w:rsidR="00675453" w:rsidRDefault="00675453" w:rsidP="007D5039">
            <w:pPr>
              <w:jc w:val="both"/>
            </w:pPr>
            <w:r w:rsidRPr="00675453">
              <w:rPr>
                <w:b/>
              </w:rPr>
              <w:t>Nejiskřivé prostředky</w:t>
            </w:r>
            <w:r>
              <w:t xml:space="preserve"> – budou-li používány pouze prostředky určené pro práci v daném prostředí – viz čl. 3</w:t>
            </w:r>
          </w:p>
          <w:p w14:paraId="1BAA759E" w14:textId="77777777" w:rsidR="00675453" w:rsidRPr="00304255" w:rsidRDefault="00675453" w:rsidP="007D5039">
            <w:pPr>
              <w:jc w:val="both"/>
            </w:pPr>
            <w:r w:rsidRPr="00675453">
              <w:rPr>
                <w:b/>
              </w:rPr>
              <w:t>Při stáčení přerušit činnost</w:t>
            </w:r>
            <w:r>
              <w:t xml:space="preserve"> – označí se v případě, že je činnost prováděna v takové vzdálenosti od stáčecího stanoviště, že by zasahovala do prostor s nebezpečím výbuchu při stáčení – okruh 5 m kolem stáčecí šachty</w:t>
            </w:r>
          </w:p>
        </w:tc>
      </w:tr>
      <w:tr w:rsidR="00400F92" w14:paraId="7FA636D0" w14:textId="77777777" w:rsidTr="00197E25">
        <w:tc>
          <w:tcPr>
            <w:tcW w:w="1101" w:type="dxa"/>
          </w:tcPr>
          <w:p w14:paraId="3C1B062F" w14:textId="77777777" w:rsidR="00400F92" w:rsidRDefault="00675453" w:rsidP="00197E25">
            <w:pPr>
              <w:jc w:val="right"/>
            </w:pPr>
            <w:r>
              <w:t>9</w:t>
            </w:r>
          </w:p>
        </w:tc>
        <w:tc>
          <w:tcPr>
            <w:tcW w:w="8677" w:type="dxa"/>
          </w:tcPr>
          <w:p w14:paraId="73C90007" w14:textId="77777777" w:rsidR="00400F92" w:rsidRDefault="003D171A" w:rsidP="007D5039">
            <w:pPr>
              <w:jc w:val="both"/>
            </w:pPr>
            <w:r w:rsidRPr="003D171A">
              <w:rPr>
                <w:b/>
              </w:rPr>
              <w:t>Požárně bezpečnostní opatření</w:t>
            </w:r>
            <w:r>
              <w:t xml:space="preserve"> – označí se v případě provádění prací s ohněm </w:t>
            </w:r>
          </w:p>
          <w:p w14:paraId="01130D46" w14:textId="77777777" w:rsidR="003D171A" w:rsidRDefault="003D171A" w:rsidP="007D5039">
            <w:pPr>
              <w:jc w:val="both"/>
              <w:rPr>
                <w:rFonts w:cs="Arial"/>
                <w:szCs w:val="20"/>
              </w:rPr>
            </w:pPr>
            <w:r w:rsidRPr="003D171A">
              <w:rPr>
                <w:b/>
              </w:rPr>
              <w:t xml:space="preserve">Základní </w:t>
            </w:r>
            <w:r>
              <w:t>–</w:t>
            </w:r>
            <w:r w:rsidR="00437AC7">
              <w:t xml:space="preserve"> </w:t>
            </w:r>
            <w:r>
              <w:rPr>
                <w:rFonts w:cs="Arial"/>
                <w:szCs w:val="20"/>
              </w:rPr>
              <w:t>ve venkovním prostoru na zpevněné ploše ve vzdálenosti nejméně 5 m od všech staveb a zařízení (kiosek, mycí hala, vysavač, kompresor )  a 10 m od technologických zařízení ČS ( nádrže a jímky, stojany, odvzdušňovací potrubí ). V těchto podmínkách postačuje provést základní požárně bezpečnostní opatření – 2 ks hasících přístrojů v dosahu, odstranění nebo zakrytí všech hořlavých materiálů a předmětů, zamezení přístupu osob.</w:t>
            </w:r>
          </w:p>
          <w:p w14:paraId="52F0EC4D" w14:textId="77777777" w:rsidR="003D171A" w:rsidRDefault="003D171A" w:rsidP="007D5039">
            <w:pPr>
              <w:jc w:val="both"/>
            </w:pPr>
            <w:r w:rsidRPr="003D171A">
              <w:rPr>
                <w:rFonts w:cs="Arial"/>
                <w:b/>
                <w:szCs w:val="20"/>
              </w:rPr>
              <w:t xml:space="preserve">ZPBO </w:t>
            </w:r>
            <w:r>
              <w:rPr>
                <w:rFonts w:cs="Arial"/>
                <w:szCs w:val="20"/>
              </w:rPr>
              <w:t>– ostatní prostory – vždy musí být připojena příloha C této směrnice</w:t>
            </w:r>
          </w:p>
        </w:tc>
      </w:tr>
      <w:tr w:rsidR="00400F92" w14:paraId="725591EC" w14:textId="77777777" w:rsidTr="00197E25">
        <w:tc>
          <w:tcPr>
            <w:tcW w:w="1101" w:type="dxa"/>
          </w:tcPr>
          <w:p w14:paraId="2691C3FF" w14:textId="77777777" w:rsidR="00400F92" w:rsidRDefault="003D171A" w:rsidP="00197E25">
            <w:pPr>
              <w:jc w:val="right"/>
            </w:pPr>
            <w:r>
              <w:t>10</w:t>
            </w:r>
          </w:p>
        </w:tc>
        <w:tc>
          <w:tcPr>
            <w:tcW w:w="8677" w:type="dxa"/>
          </w:tcPr>
          <w:p w14:paraId="4118DFFC" w14:textId="77777777" w:rsidR="00400F92" w:rsidRDefault="00FB657B" w:rsidP="007D5039">
            <w:pPr>
              <w:jc w:val="both"/>
            </w:pPr>
            <w:r w:rsidRPr="00FB657B">
              <w:rPr>
                <w:b/>
              </w:rPr>
              <w:t>Vymezení prostoru pro odstavení vozidel</w:t>
            </w:r>
            <w:r>
              <w:t xml:space="preserve"> – stanovuje </w:t>
            </w:r>
            <w:r w:rsidR="002D4FEB">
              <w:t>Vystavovatel</w:t>
            </w:r>
            <w:r>
              <w:t xml:space="preserve"> nebo Předávající tak, aby vozidla zhotovitele neohrožovala bezpečnost a  co nejméně omezovala provoz na ČS </w:t>
            </w:r>
          </w:p>
        </w:tc>
      </w:tr>
      <w:tr w:rsidR="00400F92" w14:paraId="503A1E45" w14:textId="77777777" w:rsidTr="00197E25">
        <w:tc>
          <w:tcPr>
            <w:tcW w:w="1101" w:type="dxa"/>
          </w:tcPr>
          <w:p w14:paraId="57CC0098" w14:textId="77777777" w:rsidR="00400F92" w:rsidRDefault="00FB657B" w:rsidP="00197E25">
            <w:pPr>
              <w:jc w:val="right"/>
            </w:pPr>
            <w:r>
              <w:t>11</w:t>
            </w:r>
          </w:p>
        </w:tc>
        <w:tc>
          <w:tcPr>
            <w:tcW w:w="8677" w:type="dxa"/>
          </w:tcPr>
          <w:p w14:paraId="483FBCC8" w14:textId="77777777" w:rsidR="00400F92" w:rsidRDefault="00FB657B" w:rsidP="007D5039">
            <w:pPr>
              <w:jc w:val="both"/>
            </w:pPr>
            <w:r w:rsidRPr="00FB657B">
              <w:rPr>
                <w:b/>
              </w:rPr>
              <w:t xml:space="preserve">Vymezení prostoru pro </w:t>
            </w:r>
            <w:r>
              <w:rPr>
                <w:b/>
              </w:rPr>
              <w:t>materiál/odpady</w:t>
            </w:r>
            <w:r>
              <w:t xml:space="preserve"> – stanovuje </w:t>
            </w:r>
            <w:r w:rsidR="002D4FEB">
              <w:t>Vystavovatel</w:t>
            </w:r>
            <w:r>
              <w:t xml:space="preserve"> nebo Předávající tak, aby materiál/odpady neohrožovaly bezpečnost a  co nejméně omezovaly provoz na ČS</w:t>
            </w:r>
          </w:p>
        </w:tc>
      </w:tr>
      <w:tr w:rsidR="00400F92" w14:paraId="5503F22F" w14:textId="77777777" w:rsidTr="00197E25">
        <w:tc>
          <w:tcPr>
            <w:tcW w:w="1101" w:type="dxa"/>
          </w:tcPr>
          <w:p w14:paraId="60A82032" w14:textId="77777777" w:rsidR="00400F92" w:rsidRDefault="00FB657B" w:rsidP="00197E25">
            <w:pPr>
              <w:jc w:val="right"/>
            </w:pPr>
            <w:r>
              <w:t>12</w:t>
            </w:r>
          </w:p>
        </w:tc>
        <w:tc>
          <w:tcPr>
            <w:tcW w:w="8677" w:type="dxa"/>
          </w:tcPr>
          <w:p w14:paraId="2CE803EB" w14:textId="77777777" w:rsidR="00400F92" w:rsidRDefault="00FB657B" w:rsidP="007D5039">
            <w:pPr>
              <w:jc w:val="both"/>
            </w:pPr>
            <w:r w:rsidRPr="00FB657B">
              <w:rPr>
                <w:b/>
              </w:rPr>
              <w:t>Práce ve výšce</w:t>
            </w:r>
            <w:r>
              <w:t xml:space="preserve"> – </w:t>
            </w:r>
            <w:r w:rsidR="002D4FEB">
              <w:t>Vystavovatel</w:t>
            </w:r>
            <w:r>
              <w:t xml:space="preserve"> stanoví způsob provádění, pokud činnost zhotovitele zahrnuje práce, při nichž mohou být provádějící pracovníci ohroženi pádem z výšky &gt; 1,5 m nebo může být ohrožen prostor pod místem práce</w:t>
            </w:r>
          </w:p>
          <w:p w14:paraId="5BEB1B79" w14:textId="77777777" w:rsidR="00FB657B" w:rsidRDefault="00FB657B" w:rsidP="007D5039">
            <w:pPr>
              <w:jc w:val="both"/>
            </w:pPr>
            <w:r w:rsidRPr="00FB657B">
              <w:rPr>
                <w:b/>
              </w:rPr>
              <w:t>Vstup na střechu</w:t>
            </w:r>
            <w:r>
              <w:t xml:space="preserve"> – může být povolen pouze za předpokladu, že budou splněny obecně závazné požadavky, tzn. nosnost a povrch střechy vhodný k pohybu, otvory řádně zakryty, kolektivní nebo individuální ochrana proti pádu</w:t>
            </w:r>
          </w:p>
          <w:p w14:paraId="6589C746" w14:textId="77777777" w:rsidR="00483898" w:rsidRDefault="00FB657B" w:rsidP="007D5039">
            <w:pPr>
              <w:jc w:val="both"/>
              <w:rPr>
                <w:b/>
              </w:rPr>
            </w:pPr>
            <w:r w:rsidRPr="00483898">
              <w:rPr>
                <w:b/>
              </w:rPr>
              <w:t>Lešení –</w:t>
            </w:r>
            <w:r w:rsidR="00483898">
              <w:rPr>
                <w:b/>
              </w:rPr>
              <w:t xml:space="preserve"> </w:t>
            </w:r>
            <w:r w:rsidR="00483898">
              <w:t>označí se v případě použití. K</w:t>
            </w:r>
            <w:r w:rsidRPr="00483898">
              <w:t xml:space="preserve"> lešení musí být na pracovišti po celou dobu k dispozici protokol o </w:t>
            </w:r>
            <w:r w:rsidR="00483898" w:rsidRPr="00483898">
              <w:t xml:space="preserve">předání s těmito údaji: Typ lešení; Výška; Rozměr pole; Únosnost podlahy; Přípustný počet současně zatížených podlah; Datum </w:t>
            </w:r>
            <w:proofErr w:type="spellStart"/>
            <w:r w:rsidR="00483898">
              <w:t>montáže</w:t>
            </w:r>
            <w:r w:rsidR="00483898" w:rsidRPr="00483898">
              <w:t>;</w:t>
            </w:r>
            <w:r w:rsidR="00483898">
              <w:t>Jméno</w:t>
            </w:r>
            <w:proofErr w:type="spellEnd"/>
            <w:r w:rsidR="00483898">
              <w:t xml:space="preserve"> a podpis pracovníka, který zodpovídá za bezpečný stav lešení</w:t>
            </w:r>
            <w:r w:rsidR="00483898" w:rsidRPr="00483898">
              <w:rPr>
                <w:b/>
              </w:rPr>
              <w:t> </w:t>
            </w:r>
          </w:p>
          <w:p w14:paraId="71AEABDB" w14:textId="77777777" w:rsidR="00FB657B" w:rsidRDefault="00483898" w:rsidP="007D5039">
            <w:pPr>
              <w:jc w:val="both"/>
            </w:pPr>
            <w:r>
              <w:rPr>
                <w:b/>
              </w:rPr>
              <w:t xml:space="preserve">Žebřík - </w:t>
            </w:r>
            <w:r>
              <w:t>označí se v případě použití stojacích (štafle) nebo opěrných žebříků, žebřík musí být v bezvadném stavu.</w:t>
            </w:r>
          </w:p>
        </w:tc>
      </w:tr>
      <w:tr w:rsidR="00FB657B" w14:paraId="5979C409" w14:textId="77777777" w:rsidTr="00197E25">
        <w:tc>
          <w:tcPr>
            <w:tcW w:w="1101" w:type="dxa"/>
          </w:tcPr>
          <w:p w14:paraId="136ED835" w14:textId="77777777" w:rsidR="00FB657B" w:rsidRDefault="00483898" w:rsidP="00197E25">
            <w:pPr>
              <w:jc w:val="right"/>
            </w:pPr>
            <w:r>
              <w:t>13</w:t>
            </w:r>
          </w:p>
        </w:tc>
        <w:tc>
          <w:tcPr>
            <w:tcW w:w="8677" w:type="dxa"/>
          </w:tcPr>
          <w:p w14:paraId="1E6928A5" w14:textId="77777777" w:rsidR="00FB657B" w:rsidRDefault="00483898" w:rsidP="007D5039">
            <w:pPr>
              <w:jc w:val="both"/>
            </w:pPr>
            <w:r w:rsidRPr="00483898">
              <w:rPr>
                <w:b/>
              </w:rPr>
              <w:t>Práce v nebezpečném prostoru</w:t>
            </w:r>
            <w:r>
              <w:t xml:space="preserve"> – </w:t>
            </w:r>
            <w:r w:rsidR="002D4FEB">
              <w:t>Vystavovatel</w:t>
            </w:r>
            <w:r>
              <w:t xml:space="preserve"> stanoví opatření při provádění činností v prostoru definovaném v čl. 4.7.2</w:t>
            </w:r>
          </w:p>
          <w:p w14:paraId="43490F0B" w14:textId="77777777" w:rsidR="00483898" w:rsidRDefault="00483898" w:rsidP="007D5039">
            <w:pPr>
              <w:jc w:val="both"/>
            </w:pPr>
            <w:r w:rsidRPr="00483898">
              <w:rPr>
                <w:b/>
              </w:rPr>
              <w:t>IDP/ČV</w:t>
            </w:r>
            <w:r>
              <w:t xml:space="preserve"> – pracovníci vstupující do nebezpečného prostoru musí být vybaveni izolačním (IDP) nebo dálkovým dýchacím přístrojem (ČV)</w:t>
            </w:r>
          </w:p>
          <w:p w14:paraId="64D2EF50" w14:textId="77777777" w:rsidR="00483898" w:rsidRDefault="00483898" w:rsidP="007D5039">
            <w:pPr>
              <w:jc w:val="both"/>
            </w:pPr>
            <w:r w:rsidRPr="00483898">
              <w:rPr>
                <w:b/>
              </w:rPr>
              <w:t xml:space="preserve">Jištění </w:t>
            </w:r>
            <w:r>
              <w:t xml:space="preserve">– </w:t>
            </w:r>
            <w:r w:rsidR="002D4FEB">
              <w:t>Vystavovatel</w:t>
            </w:r>
            <w:r>
              <w:t xml:space="preserve"> stanoví požadavek na jištění lanem a počet osob provádějících jištění </w:t>
            </w:r>
          </w:p>
          <w:p w14:paraId="0B33B37F" w14:textId="77777777" w:rsidR="00483898" w:rsidRDefault="00483898" w:rsidP="007D5039">
            <w:pPr>
              <w:jc w:val="both"/>
            </w:pPr>
            <w:r w:rsidRPr="00483898">
              <w:rPr>
                <w:b/>
              </w:rPr>
              <w:t>Další opatření</w:t>
            </w:r>
            <w:r>
              <w:t xml:space="preserve"> – </w:t>
            </w:r>
            <w:r w:rsidR="002D4FEB">
              <w:t>Vystavovatel</w:t>
            </w:r>
            <w:r>
              <w:t xml:space="preserve"> nebo Předávající stanoví další podmínky pro provedení práce v nebezpečném prostoru na základě znalosti místních podmínek</w:t>
            </w:r>
          </w:p>
        </w:tc>
      </w:tr>
      <w:tr w:rsidR="00FB657B" w14:paraId="37A9A485" w14:textId="77777777" w:rsidTr="00197E25">
        <w:tc>
          <w:tcPr>
            <w:tcW w:w="1101" w:type="dxa"/>
          </w:tcPr>
          <w:p w14:paraId="2F627040" w14:textId="77777777" w:rsidR="00FB657B" w:rsidRDefault="00703781" w:rsidP="00197E25">
            <w:pPr>
              <w:jc w:val="right"/>
            </w:pPr>
            <w:r>
              <w:t>14</w:t>
            </w:r>
          </w:p>
        </w:tc>
        <w:tc>
          <w:tcPr>
            <w:tcW w:w="8677" w:type="dxa"/>
          </w:tcPr>
          <w:p w14:paraId="6E791F10" w14:textId="77777777" w:rsidR="00CA3431" w:rsidRPr="000C3CF8" w:rsidRDefault="00703781" w:rsidP="007D5039">
            <w:pPr>
              <w:jc w:val="both"/>
            </w:pPr>
            <w:r w:rsidRPr="00703781">
              <w:rPr>
                <w:b/>
              </w:rPr>
              <w:t>Další opatření</w:t>
            </w:r>
            <w:r>
              <w:rPr>
                <w:b/>
              </w:rPr>
              <w:t xml:space="preserve"> – </w:t>
            </w:r>
            <w:r w:rsidR="002D4FEB">
              <w:t>Vystavovatel</w:t>
            </w:r>
            <w:r w:rsidRPr="00703781">
              <w:t xml:space="preserve"> stanoví další podmínky pro provedení práce neošetřené v kolonkách 6 až 13, doplní chybějící údaje a neplatné požadavky viditelně přeškrtne</w:t>
            </w:r>
          </w:p>
        </w:tc>
      </w:tr>
      <w:tr w:rsidR="00FB657B" w14:paraId="1F384668" w14:textId="77777777" w:rsidTr="00197E25">
        <w:tc>
          <w:tcPr>
            <w:tcW w:w="1101" w:type="dxa"/>
          </w:tcPr>
          <w:p w14:paraId="021957F7" w14:textId="77777777" w:rsidR="00FB657B" w:rsidRDefault="00703781" w:rsidP="007D5039">
            <w:pPr>
              <w:jc w:val="both"/>
            </w:pPr>
            <w:r>
              <w:lastRenderedPageBreak/>
              <w:t>15</w:t>
            </w:r>
          </w:p>
        </w:tc>
        <w:tc>
          <w:tcPr>
            <w:tcW w:w="8677" w:type="dxa"/>
          </w:tcPr>
          <w:p w14:paraId="21504373" w14:textId="77777777" w:rsidR="00FB657B" w:rsidRDefault="00703781" w:rsidP="007D5039">
            <w:pPr>
              <w:jc w:val="both"/>
            </w:pPr>
            <w:r w:rsidRPr="00703781">
              <w:rPr>
                <w:b/>
              </w:rPr>
              <w:t xml:space="preserve">Podmínky nastavil </w:t>
            </w:r>
            <w:r w:rsidR="002D4FEB">
              <w:rPr>
                <w:b/>
              </w:rPr>
              <w:t>Vystavovatel</w:t>
            </w:r>
            <w:r>
              <w:t xml:space="preserve"> – uvede své jméno a příjmení, datum vydání </w:t>
            </w:r>
            <w:proofErr w:type="spellStart"/>
            <w:r>
              <w:t>PkP</w:t>
            </w:r>
            <w:proofErr w:type="spellEnd"/>
            <w:r>
              <w:t xml:space="preserve"> a podpisem potvrdí správnost a úplnost uvedených údajů</w:t>
            </w:r>
          </w:p>
        </w:tc>
      </w:tr>
      <w:tr w:rsidR="00FB657B" w14:paraId="21C5FFB6" w14:textId="77777777" w:rsidTr="00197E25">
        <w:tc>
          <w:tcPr>
            <w:tcW w:w="1101" w:type="dxa"/>
          </w:tcPr>
          <w:p w14:paraId="4CF1D407" w14:textId="77777777" w:rsidR="00FB657B" w:rsidRDefault="00703781" w:rsidP="007D5039">
            <w:pPr>
              <w:jc w:val="both"/>
            </w:pPr>
            <w:r>
              <w:t>16</w:t>
            </w:r>
          </w:p>
        </w:tc>
        <w:tc>
          <w:tcPr>
            <w:tcW w:w="8677" w:type="dxa"/>
          </w:tcPr>
          <w:p w14:paraId="745FFEFC" w14:textId="77777777" w:rsidR="00FB657B" w:rsidRDefault="00703781" w:rsidP="007D5039">
            <w:pPr>
              <w:jc w:val="both"/>
            </w:pPr>
            <w:r w:rsidRPr="00703781">
              <w:rPr>
                <w:b/>
              </w:rPr>
              <w:t>Přizvaná osoba</w:t>
            </w:r>
            <w:r>
              <w:t xml:space="preserve"> - uvede své jméno a příjmení, datum seznámení s </w:t>
            </w:r>
            <w:proofErr w:type="spellStart"/>
            <w:r>
              <w:t>PkP</w:t>
            </w:r>
            <w:proofErr w:type="spellEnd"/>
            <w:r>
              <w:t xml:space="preserve"> a podpisem potvrdí správnost a úplnost uvedených údajů</w:t>
            </w:r>
          </w:p>
        </w:tc>
      </w:tr>
      <w:tr w:rsidR="00703781" w14:paraId="743DDB11" w14:textId="77777777" w:rsidTr="00197E25">
        <w:tc>
          <w:tcPr>
            <w:tcW w:w="1101" w:type="dxa"/>
          </w:tcPr>
          <w:p w14:paraId="43EFADD4" w14:textId="77777777" w:rsidR="00703781" w:rsidRDefault="00703781" w:rsidP="007D5039">
            <w:pPr>
              <w:jc w:val="both"/>
            </w:pPr>
            <w:r>
              <w:t>17</w:t>
            </w:r>
          </w:p>
        </w:tc>
        <w:tc>
          <w:tcPr>
            <w:tcW w:w="8677" w:type="dxa"/>
          </w:tcPr>
          <w:p w14:paraId="5CEC6725" w14:textId="77777777" w:rsidR="00703781" w:rsidRDefault="00703781" w:rsidP="007D5039">
            <w:pPr>
              <w:jc w:val="both"/>
            </w:pPr>
            <w:r w:rsidRPr="00703781">
              <w:rPr>
                <w:b/>
              </w:rPr>
              <w:t xml:space="preserve">Podmínky odsouhlasil a pracoviště převzal </w:t>
            </w:r>
            <w:r w:rsidR="00BB47BF">
              <w:rPr>
                <w:b/>
              </w:rPr>
              <w:t>Příjemc</w:t>
            </w:r>
            <w:r w:rsidRPr="00703781">
              <w:rPr>
                <w:b/>
              </w:rPr>
              <w:t xml:space="preserve">e </w:t>
            </w:r>
            <w:r>
              <w:t xml:space="preserve">– uvede své jméno a příjmení, datum seznámení s </w:t>
            </w:r>
            <w:proofErr w:type="spellStart"/>
            <w:r>
              <w:t>PkP</w:t>
            </w:r>
            <w:proofErr w:type="spellEnd"/>
            <w:r>
              <w:t xml:space="preserve"> a podpisem potvrdí převzetí pracoviště a splnění podmínek uvedených v </w:t>
            </w:r>
            <w:proofErr w:type="spellStart"/>
            <w:r>
              <w:t>PkP</w:t>
            </w:r>
            <w:proofErr w:type="spellEnd"/>
          </w:p>
        </w:tc>
      </w:tr>
      <w:tr w:rsidR="00703781" w14:paraId="4C6569F2" w14:textId="77777777" w:rsidTr="00197E25">
        <w:tc>
          <w:tcPr>
            <w:tcW w:w="1101" w:type="dxa"/>
          </w:tcPr>
          <w:p w14:paraId="040A1936" w14:textId="77777777" w:rsidR="00703781" w:rsidRDefault="00703781" w:rsidP="007D5039">
            <w:pPr>
              <w:jc w:val="both"/>
            </w:pPr>
            <w:r>
              <w:t>18</w:t>
            </w:r>
          </w:p>
        </w:tc>
        <w:tc>
          <w:tcPr>
            <w:tcW w:w="8677" w:type="dxa"/>
          </w:tcPr>
          <w:p w14:paraId="1275CDD0" w14:textId="77777777" w:rsidR="00703781" w:rsidRDefault="00703781" w:rsidP="007D5039">
            <w:pPr>
              <w:jc w:val="both"/>
            </w:pPr>
            <w:r w:rsidRPr="00703781">
              <w:rPr>
                <w:b/>
              </w:rPr>
              <w:t>Pracoviště předal Předávající</w:t>
            </w:r>
            <w:r>
              <w:t xml:space="preserve"> - uvede své jméno a příjmení, datum seznámení s </w:t>
            </w:r>
            <w:proofErr w:type="spellStart"/>
            <w:r>
              <w:t>PkP</w:t>
            </w:r>
            <w:proofErr w:type="spellEnd"/>
            <w:r>
              <w:t xml:space="preserve"> a podpisem potvrdí předání pracoviště a splnění podmínek uvedených v </w:t>
            </w:r>
            <w:proofErr w:type="spellStart"/>
            <w:r>
              <w:t>PkP</w:t>
            </w:r>
            <w:proofErr w:type="spellEnd"/>
          </w:p>
        </w:tc>
      </w:tr>
      <w:tr w:rsidR="00703781" w14:paraId="1D6CA442" w14:textId="77777777" w:rsidTr="00197E25">
        <w:tc>
          <w:tcPr>
            <w:tcW w:w="1101" w:type="dxa"/>
          </w:tcPr>
          <w:p w14:paraId="699E4A65" w14:textId="77777777" w:rsidR="00703781" w:rsidRDefault="00703781" w:rsidP="007D5039">
            <w:pPr>
              <w:jc w:val="both"/>
            </w:pPr>
            <w:r>
              <w:t>19</w:t>
            </w:r>
          </w:p>
        </w:tc>
        <w:tc>
          <w:tcPr>
            <w:tcW w:w="8677" w:type="dxa"/>
          </w:tcPr>
          <w:p w14:paraId="7898EA97" w14:textId="77777777" w:rsidR="00703781" w:rsidRPr="00703781" w:rsidRDefault="00703781" w:rsidP="007D5039">
            <w:pPr>
              <w:jc w:val="both"/>
              <w:rPr>
                <w:b/>
              </w:rPr>
            </w:pPr>
            <w:r w:rsidRPr="00703781">
              <w:rPr>
                <w:b/>
              </w:rPr>
              <w:t xml:space="preserve">Pracoviště po skončení prací předal </w:t>
            </w:r>
            <w:r w:rsidR="00BB47BF">
              <w:rPr>
                <w:b/>
              </w:rPr>
              <w:t>Příjemc</w:t>
            </w:r>
            <w:r w:rsidRPr="00703781">
              <w:rPr>
                <w:b/>
              </w:rPr>
              <w:t>e</w:t>
            </w:r>
            <w:r w:rsidR="002A63CA">
              <w:rPr>
                <w:b/>
              </w:rPr>
              <w:t xml:space="preserve"> - </w:t>
            </w:r>
            <w:r w:rsidR="002A63CA">
              <w:t>uvede své jméno a příjmení, datum předání  a podpisem potvrdí ukončení prací</w:t>
            </w:r>
          </w:p>
        </w:tc>
      </w:tr>
      <w:tr w:rsidR="00703781" w14:paraId="0518902F" w14:textId="77777777" w:rsidTr="00197E25">
        <w:tc>
          <w:tcPr>
            <w:tcW w:w="1101" w:type="dxa"/>
          </w:tcPr>
          <w:p w14:paraId="6BE64620" w14:textId="77777777" w:rsidR="00703781" w:rsidRDefault="002A63CA" w:rsidP="007D5039">
            <w:pPr>
              <w:jc w:val="both"/>
            </w:pPr>
            <w:r>
              <w:t>20</w:t>
            </w:r>
          </w:p>
        </w:tc>
        <w:tc>
          <w:tcPr>
            <w:tcW w:w="8677" w:type="dxa"/>
          </w:tcPr>
          <w:p w14:paraId="7C1D24C5" w14:textId="77777777" w:rsidR="00703781" w:rsidRDefault="002A63CA" w:rsidP="007D5039">
            <w:pPr>
              <w:jc w:val="both"/>
            </w:pPr>
            <w:r w:rsidRPr="002A63CA">
              <w:rPr>
                <w:b/>
              </w:rPr>
              <w:t>Pracoviště převzal a povolení ukončil</w:t>
            </w:r>
            <w:r>
              <w:t xml:space="preserve"> - </w:t>
            </w:r>
            <w:r w:rsidR="002D4FEB">
              <w:t>Vystavovatel</w:t>
            </w:r>
            <w:r>
              <w:t xml:space="preserve"> uvede své jméno a příjmení, datum převzetí a podpisem potvrdí ukončení platnosti </w:t>
            </w:r>
            <w:proofErr w:type="spellStart"/>
            <w:r>
              <w:t>PkP</w:t>
            </w:r>
            <w:proofErr w:type="spellEnd"/>
          </w:p>
        </w:tc>
      </w:tr>
    </w:tbl>
    <w:p w14:paraId="1A5FFCDF" w14:textId="77777777" w:rsidR="00A75CEC" w:rsidRDefault="00A75CEC" w:rsidP="007D5039">
      <w:pPr>
        <w:jc w:val="both"/>
      </w:pPr>
    </w:p>
    <w:p w14:paraId="6F74A76A" w14:textId="77777777" w:rsidR="00304B97" w:rsidRDefault="00304B97" w:rsidP="007D5039">
      <w:pPr>
        <w:jc w:val="both"/>
      </w:pPr>
      <w:r>
        <w:t>Formulář ZPBO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677"/>
      </w:tblGrid>
      <w:tr w:rsidR="00304B97" w14:paraId="02773F9A" w14:textId="77777777" w:rsidTr="00B325FB">
        <w:tc>
          <w:tcPr>
            <w:tcW w:w="1101" w:type="dxa"/>
          </w:tcPr>
          <w:p w14:paraId="69477462" w14:textId="77777777" w:rsidR="00304B97" w:rsidRDefault="00304B97" w:rsidP="007D5039">
            <w:pPr>
              <w:jc w:val="both"/>
            </w:pPr>
            <w:r>
              <w:t>Číslo kolonky</w:t>
            </w:r>
          </w:p>
        </w:tc>
        <w:tc>
          <w:tcPr>
            <w:tcW w:w="8677" w:type="dxa"/>
          </w:tcPr>
          <w:p w14:paraId="7548BC93" w14:textId="77777777" w:rsidR="00304B97" w:rsidRDefault="00304B97" w:rsidP="007D5039">
            <w:pPr>
              <w:jc w:val="both"/>
            </w:pPr>
            <w:r>
              <w:t>Způsob vyplnění</w:t>
            </w:r>
          </w:p>
        </w:tc>
      </w:tr>
      <w:tr w:rsidR="00304B97" w14:paraId="57FC667E" w14:textId="77777777" w:rsidTr="00B325FB">
        <w:tc>
          <w:tcPr>
            <w:tcW w:w="1101" w:type="dxa"/>
          </w:tcPr>
          <w:p w14:paraId="33CFB583" w14:textId="77777777" w:rsidR="00304B97" w:rsidRDefault="00304B97" w:rsidP="007D5039">
            <w:pPr>
              <w:jc w:val="both"/>
            </w:pPr>
            <w:r>
              <w:t xml:space="preserve">21 </w:t>
            </w:r>
          </w:p>
        </w:tc>
        <w:tc>
          <w:tcPr>
            <w:tcW w:w="8677" w:type="dxa"/>
          </w:tcPr>
          <w:p w14:paraId="42732FC5" w14:textId="77777777" w:rsidR="00304B97" w:rsidRDefault="00304B97" w:rsidP="007D5039">
            <w:pPr>
              <w:jc w:val="both"/>
            </w:pPr>
            <w:r w:rsidRPr="00FE160A">
              <w:rPr>
                <w:b/>
              </w:rPr>
              <w:t xml:space="preserve">Číslo </w:t>
            </w:r>
            <w:r>
              <w:t xml:space="preserve">- </w:t>
            </w:r>
            <w:r w:rsidR="002D4FEB">
              <w:t>Vystavovatel</w:t>
            </w:r>
            <w:r>
              <w:t xml:space="preserve"> uvede číslo </w:t>
            </w:r>
            <w:proofErr w:type="spellStart"/>
            <w:r>
              <w:t>PkP</w:t>
            </w:r>
            <w:proofErr w:type="spellEnd"/>
            <w:r>
              <w:t>, jehož je formulář ZPBO přílohou</w:t>
            </w:r>
          </w:p>
        </w:tc>
      </w:tr>
      <w:tr w:rsidR="00304B97" w14:paraId="66CEE764" w14:textId="77777777" w:rsidTr="00B325FB">
        <w:tc>
          <w:tcPr>
            <w:tcW w:w="1101" w:type="dxa"/>
          </w:tcPr>
          <w:p w14:paraId="08F4C605" w14:textId="77777777" w:rsidR="00304B97" w:rsidRDefault="00304B97" w:rsidP="007D5039">
            <w:pPr>
              <w:jc w:val="both"/>
            </w:pPr>
            <w:r>
              <w:t>22</w:t>
            </w:r>
          </w:p>
        </w:tc>
        <w:tc>
          <w:tcPr>
            <w:tcW w:w="8677" w:type="dxa"/>
          </w:tcPr>
          <w:p w14:paraId="315D63EA" w14:textId="77777777" w:rsidR="00304B97" w:rsidRPr="00FE160A" w:rsidRDefault="00304B97" w:rsidP="007D5039">
            <w:pPr>
              <w:jc w:val="both"/>
              <w:rPr>
                <w:b/>
              </w:rPr>
            </w:pPr>
            <w:r w:rsidRPr="00304B97">
              <w:rPr>
                <w:b/>
              </w:rPr>
              <w:t>Způsob provedení práce</w:t>
            </w:r>
            <w:r>
              <w:rPr>
                <w:b/>
              </w:rPr>
              <w:t xml:space="preserve"> – </w:t>
            </w:r>
            <w:r w:rsidR="002D4FEB">
              <w:t>Vystavovatel</w:t>
            </w:r>
            <w:r w:rsidRPr="00304B97">
              <w:t xml:space="preserve"> označí relevantní technologie požárně nebezpečných činností</w:t>
            </w:r>
          </w:p>
        </w:tc>
      </w:tr>
      <w:tr w:rsidR="00304B97" w14:paraId="3E935BD8" w14:textId="77777777" w:rsidTr="00B325FB">
        <w:tc>
          <w:tcPr>
            <w:tcW w:w="1101" w:type="dxa"/>
          </w:tcPr>
          <w:p w14:paraId="2A8FC9EF" w14:textId="77777777" w:rsidR="00304B97" w:rsidRDefault="00304B97" w:rsidP="007D5039">
            <w:pPr>
              <w:jc w:val="both"/>
            </w:pPr>
            <w:r>
              <w:t>23</w:t>
            </w:r>
          </w:p>
        </w:tc>
        <w:tc>
          <w:tcPr>
            <w:tcW w:w="8677" w:type="dxa"/>
          </w:tcPr>
          <w:p w14:paraId="6942B129" w14:textId="77777777" w:rsidR="00304B97" w:rsidRPr="00FE160A" w:rsidRDefault="00304B97" w:rsidP="007D5039">
            <w:pPr>
              <w:jc w:val="both"/>
              <w:rPr>
                <w:b/>
              </w:rPr>
            </w:pPr>
            <w:r>
              <w:rPr>
                <w:b/>
              </w:rPr>
              <w:t xml:space="preserve">Zvláštní požárně bezpečnostní </w:t>
            </w:r>
            <w:r w:rsidR="008B70E4">
              <w:rPr>
                <w:b/>
              </w:rPr>
              <w:t xml:space="preserve">opatření – </w:t>
            </w:r>
            <w:r w:rsidR="002D4FEB">
              <w:t>Vystavovatel</w:t>
            </w:r>
            <w:r w:rsidR="008B70E4" w:rsidRPr="008B70E4">
              <w:t xml:space="preserve"> označí požadovaná opatření, příp. dopíše způsob zajištění příp. časový nebo </w:t>
            </w:r>
            <w:proofErr w:type="spellStart"/>
            <w:r w:rsidR="008B70E4" w:rsidRPr="008B70E4">
              <w:t>prosotorový</w:t>
            </w:r>
            <w:proofErr w:type="spellEnd"/>
            <w:r w:rsidR="008B70E4" w:rsidRPr="008B70E4">
              <w:t xml:space="preserve"> rozsah</w:t>
            </w:r>
          </w:p>
        </w:tc>
      </w:tr>
      <w:tr w:rsidR="00304B97" w14:paraId="2343F1DE" w14:textId="77777777" w:rsidTr="00B325FB">
        <w:tc>
          <w:tcPr>
            <w:tcW w:w="1101" w:type="dxa"/>
          </w:tcPr>
          <w:p w14:paraId="3637412A" w14:textId="77777777" w:rsidR="00304B97" w:rsidRDefault="008B70E4" w:rsidP="00B325FB">
            <w:pPr>
              <w:jc w:val="right"/>
            </w:pPr>
            <w:r>
              <w:t>24</w:t>
            </w:r>
          </w:p>
        </w:tc>
        <w:tc>
          <w:tcPr>
            <w:tcW w:w="8677" w:type="dxa"/>
          </w:tcPr>
          <w:p w14:paraId="00CBBDFB" w14:textId="77777777" w:rsidR="00304B97" w:rsidRPr="00FE160A" w:rsidRDefault="008B70E4" w:rsidP="007D5039">
            <w:pPr>
              <w:jc w:val="both"/>
              <w:rPr>
                <w:b/>
              </w:rPr>
            </w:pPr>
            <w:r>
              <w:rPr>
                <w:b/>
              </w:rPr>
              <w:t xml:space="preserve">Hasící přístroje – </w:t>
            </w:r>
            <w:r w:rsidR="002D4FEB">
              <w:t>Vystavovatel</w:t>
            </w:r>
            <w:r w:rsidRPr="008B70E4">
              <w:t xml:space="preserve"> označí požadované druhy a číslicí uvede množství hasících přístrojů.</w:t>
            </w:r>
          </w:p>
        </w:tc>
      </w:tr>
      <w:tr w:rsidR="00304B97" w14:paraId="7E90CAF6" w14:textId="77777777" w:rsidTr="00B325FB">
        <w:tc>
          <w:tcPr>
            <w:tcW w:w="1101" w:type="dxa"/>
          </w:tcPr>
          <w:p w14:paraId="00A2A786" w14:textId="77777777" w:rsidR="00304B97" w:rsidRDefault="008B70E4" w:rsidP="00B325FB">
            <w:pPr>
              <w:jc w:val="right"/>
            </w:pPr>
            <w:r>
              <w:t>25</w:t>
            </w:r>
          </w:p>
        </w:tc>
        <w:tc>
          <w:tcPr>
            <w:tcW w:w="8677" w:type="dxa"/>
          </w:tcPr>
          <w:p w14:paraId="7B015E6F" w14:textId="77777777" w:rsidR="00304B97" w:rsidRPr="00FE160A" w:rsidRDefault="008B70E4" w:rsidP="007D5039">
            <w:pPr>
              <w:jc w:val="both"/>
              <w:rPr>
                <w:b/>
              </w:rPr>
            </w:pPr>
            <w:r>
              <w:rPr>
                <w:b/>
              </w:rPr>
              <w:t>Speciální hasící prostředky –</w:t>
            </w:r>
            <w:r w:rsidRPr="008B70E4">
              <w:t xml:space="preserve"> v případě požadavku na další hasební prostředky je </w:t>
            </w:r>
            <w:r w:rsidR="002D4FEB">
              <w:t>Vystavovatel</w:t>
            </w:r>
            <w:r w:rsidRPr="008B70E4">
              <w:t xml:space="preserve"> vypíše</w:t>
            </w:r>
          </w:p>
        </w:tc>
      </w:tr>
      <w:tr w:rsidR="00304B97" w14:paraId="3FA194CE" w14:textId="77777777" w:rsidTr="00B325FB">
        <w:tc>
          <w:tcPr>
            <w:tcW w:w="1101" w:type="dxa"/>
          </w:tcPr>
          <w:p w14:paraId="13C72C17" w14:textId="77777777" w:rsidR="00304B97" w:rsidRDefault="008B70E4" w:rsidP="00B325FB">
            <w:pPr>
              <w:jc w:val="right"/>
            </w:pPr>
            <w:r>
              <w:t>26</w:t>
            </w:r>
          </w:p>
        </w:tc>
        <w:tc>
          <w:tcPr>
            <w:tcW w:w="8677" w:type="dxa"/>
          </w:tcPr>
          <w:p w14:paraId="5AF33769" w14:textId="77777777" w:rsidR="00304B97" w:rsidRPr="00FE160A" w:rsidRDefault="008B70E4" w:rsidP="007D5039">
            <w:pPr>
              <w:jc w:val="both"/>
              <w:rPr>
                <w:b/>
              </w:rPr>
            </w:pPr>
            <w:r>
              <w:rPr>
                <w:b/>
              </w:rPr>
              <w:t xml:space="preserve">Další opatření – </w:t>
            </w:r>
            <w:r w:rsidR="002D4FEB">
              <w:t>Vystavovatel</w:t>
            </w:r>
            <w:r w:rsidRPr="008B70E4">
              <w:t xml:space="preserve"> </w:t>
            </w:r>
            <w:r w:rsidR="00562B4F">
              <w:t>vypíše další</w:t>
            </w:r>
            <w:r w:rsidRPr="008B70E4">
              <w:t xml:space="preserve"> požadovaná opatření, příp. dopíše způsob zajištění příp. časový nebo </w:t>
            </w:r>
            <w:proofErr w:type="spellStart"/>
            <w:r w:rsidRPr="008B70E4">
              <w:t>prosotorový</w:t>
            </w:r>
            <w:proofErr w:type="spellEnd"/>
            <w:r w:rsidRPr="008B70E4">
              <w:t xml:space="preserve"> rozsah</w:t>
            </w:r>
          </w:p>
        </w:tc>
      </w:tr>
      <w:tr w:rsidR="00304B97" w14:paraId="4581EADD" w14:textId="77777777" w:rsidTr="00B325FB">
        <w:tc>
          <w:tcPr>
            <w:tcW w:w="1101" w:type="dxa"/>
          </w:tcPr>
          <w:p w14:paraId="34D67EA0" w14:textId="77777777" w:rsidR="00304B97" w:rsidRDefault="00562B4F" w:rsidP="00B325FB">
            <w:pPr>
              <w:jc w:val="right"/>
            </w:pPr>
            <w:r>
              <w:t>27</w:t>
            </w:r>
          </w:p>
        </w:tc>
        <w:tc>
          <w:tcPr>
            <w:tcW w:w="8677" w:type="dxa"/>
          </w:tcPr>
          <w:p w14:paraId="23C48729" w14:textId="77777777" w:rsidR="00304B97" w:rsidRPr="00562B4F" w:rsidRDefault="00562B4F" w:rsidP="007D5039">
            <w:pPr>
              <w:jc w:val="both"/>
            </w:pPr>
            <w:r>
              <w:rPr>
                <w:b/>
              </w:rPr>
              <w:t xml:space="preserve">Identifikace svářečů – </w:t>
            </w:r>
            <w:r>
              <w:t>V případě svařování uvede Předávající jména a příjmení a čísla kvalifikačních dokladů svářečů</w:t>
            </w:r>
          </w:p>
        </w:tc>
      </w:tr>
      <w:tr w:rsidR="00304B97" w14:paraId="3C0E4928" w14:textId="77777777" w:rsidTr="00B325FB">
        <w:tc>
          <w:tcPr>
            <w:tcW w:w="1101" w:type="dxa"/>
          </w:tcPr>
          <w:p w14:paraId="241BF841" w14:textId="77777777" w:rsidR="00304B97" w:rsidRDefault="00562B4F" w:rsidP="00B325FB">
            <w:pPr>
              <w:jc w:val="right"/>
            </w:pPr>
            <w:r>
              <w:t>28</w:t>
            </w:r>
          </w:p>
        </w:tc>
        <w:tc>
          <w:tcPr>
            <w:tcW w:w="8677" w:type="dxa"/>
          </w:tcPr>
          <w:p w14:paraId="600F9287" w14:textId="77777777" w:rsidR="00304B97" w:rsidRDefault="00562B4F" w:rsidP="007D5039">
            <w:pPr>
              <w:jc w:val="both"/>
            </w:pPr>
            <w:r>
              <w:rPr>
                <w:b/>
              </w:rPr>
              <w:t xml:space="preserve">Požární dozor při práci – </w:t>
            </w:r>
            <w:r>
              <w:t>Předávající v dohodě s </w:t>
            </w:r>
            <w:r w:rsidR="00BB47BF">
              <w:t>Příjemc</w:t>
            </w:r>
            <w:r>
              <w:t>em uvedou datum,  jména a příjmení osob pověřených dozorem. Pověřené osoby potvrdí podpisem, že byli seznámeni s oprávněními a povinnostmi při provádění dozoru.</w:t>
            </w:r>
          </w:p>
          <w:p w14:paraId="507538BB" w14:textId="77777777" w:rsidR="00562B4F" w:rsidRPr="00562B4F" w:rsidRDefault="00562B4F" w:rsidP="007D5039">
            <w:pPr>
              <w:jc w:val="both"/>
            </w:pPr>
            <w:r w:rsidRPr="00562B4F">
              <w:rPr>
                <w:b/>
              </w:rPr>
              <w:t>Požární dohled po skončení práce</w:t>
            </w:r>
            <w:r>
              <w:t xml:space="preserve"> - Předávající v dohodě s </w:t>
            </w:r>
            <w:r w:rsidR="00BB47BF">
              <w:t>Příjemc</w:t>
            </w:r>
            <w:r>
              <w:t>em uvedou datum,  jména a příjmení osob pověřených následným dohledem na místo práce. Pověřené osoby potvrdí podpisem, že byli seznámeni s oprávněními a povinnostmi při provádění dohledu.</w:t>
            </w:r>
          </w:p>
        </w:tc>
      </w:tr>
      <w:tr w:rsidR="00304B97" w14:paraId="5B61B182" w14:textId="77777777" w:rsidTr="00B325FB">
        <w:tc>
          <w:tcPr>
            <w:tcW w:w="1101" w:type="dxa"/>
          </w:tcPr>
          <w:p w14:paraId="0B195A9A" w14:textId="77777777" w:rsidR="00304B97" w:rsidRDefault="00562B4F" w:rsidP="00B325FB">
            <w:pPr>
              <w:jc w:val="right"/>
            </w:pPr>
            <w:r>
              <w:t>29</w:t>
            </w:r>
          </w:p>
        </w:tc>
        <w:tc>
          <w:tcPr>
            <w:tcW w:w="8677" w:type="dxa"/>
          </w:tcPr>
          <w:p w14:paraId="66B57BF7" w14:textId="77777777" w:rsidR="00304B97" w:rsidRPr="00FE160A" w:rsidRDefault="00562B4F" w:rsidP="007D5039">
            <w:pPr>
              <w:jc w:val="both"/>
              <w:rPr>
                <w:b/>
              </w:rPr>
            </w:pPr>
            <w:r>
              <w:rPr>
                <w:b/>
              </w:rPr>
              <w:t xml:space="preserve">Záznam o trvalém požárním dozoru při práci – </w:t>
            </w:r>
            <w:r w:rsidRPr="00562B4F">
              <w:t>pověřená osoba zaznamenává průběžně každý den práce, na níž se ZPBO vztahuje, datum, čas zahájení, své jméno a příjmení a čas ukončení. Svým podpisem potvrzuje správnost uvedených údajů</w:t>
            </w:r>
          </w:p>
        </w:tc>
      </w:tr>
      <w:tr w:rsidR="00304B97" w14:paraId="63337E6A" w14:textId="77777777" w:rsidTr="00B325FB">
        <w:tc>
          <w:tcPr>
            <w:tcW w:w="1101" w:type="dxa"/>
          </w:tcPr>
          <w:p w14:paraId="4DE3AEF4" w14:textId="77777777" w:rsidR="00304B97" w:rsidRDefault="00562B4F" w:rsidP="00B325FB">
            <w:pPr>
              <w:jc w:val="right"/>
            </w:pPr>
            <w:r>
              <w:t>30</w:t>
            </w:r>
          </w:p>
        </w:tc>
        <w:tc>
          <w:tcPr>
            <w:tcW w:w="8677" w:type="dxa"/>
          </w:tcPr>
          <w:p w14:paraId="32BBA19B" w14:textId="77777777" w:rsidR="00304B97" w:rsidRPr="00562B4F" w:rsidRDefault="00562B4F" w:rsidP="007D5039">
            <w:pPr>
              <w:jc w:val="both"/>
            </w:pPr>
            <w:r w:rsidRPr="00562B4F">
              <w:rPr>
                <w:b/>
              </w:rPr>
              <w:t>Záznam o provádění požárního dohledu po skončení práce</w:t>
            </w:r>
            <w:r>
              <w:rPr>
                <w:b/>
              </w:rPr>
              <w:t xml:space="preserve"> – </w:t>
            </w:r>
            <w:r>
              <w:t>Pověřená osoba zaznamenává každé provedení kontroly v rámci dohledu na místo práce.</w:t>
            </w:r>
          </w:p>
        </w:tc>
      </w:tr>
    </w:tbl>
    <w:p w14:paraId="498590CF" w14:textId="77777777" w:rsidR="00304B97" w:rsidRDefault="00304B97" w:rsidP="00FF5BF9"/>
    <w:p w14:paraId="2411290C" w14:textId="77777777" w:rsidR="00F86723" w:rsidRDefault="00F86723" w:rsidP="00FF5BF9"/>
    <w:p w14:paraId="41606EA7" w14:textId="77777777" w:rsidR="00F86723" w:rsidRDefault="00F86723" w:rsidP="00FF5BF9"/>
    <w:p w14:paraId="2B81C679" w14:textId="77777777" w:rsidR="00F86723" w:rsidRDefault="00F86723" w:rsidP="00FF5BF9"/>
    <w:p w14:paraId="2CA7E693" w14:textId="77777777" w:rsidR="00F86723" w:rsidRPr="004154BC" w:rsidRDefault="00E14D90" w:rsidP="004154BC">
      <w:pPr>
        <w:pStyle w:val="Nadpis1"/>
        <w:numPr>
          <w:ilvl w:val="0"/>
          <w:numId w:val="0"/>
        </w:numPr>
        <w:rPr>
          <w:szCs w:val="20"/>
        </w:rPr>
      </w:pPr>
      <w:bookmarkStart w:id="34" w:name="_Toc70486852"/>
      <w:r w:rsidRPr="004154BC">
        <w:rPr>
          <w:szCs w:val="20"/>
        </w:rPr>
        <w:lastRenderedPageBreak/>
        <w:t>Příloha F</w:t>
      </w:r>
      <w:r w:rsidR="00ED41EE">
        <w:rPr>
          <w:szCs w:val="20"/>
        </w:rPr>
        <w:tab/>
      </w:r>
      <w:r w:rsidR="00F86723" w:rsidRPr="004154BC">
        <w:rPr>
          <w:szCs w:val="20"/>
        </w:rPr>
        <w:t>Minimální požadavky BOZP a PO na protokolem vyčleněných pracovištích</w:t>
      </w:r>
      <w:bookmarkEnd w:id="34"/>
    </w:p>
    <w:p w14:paraId="40456E58" w14:textId="77777777" w:rsidR="00F86723" w:rsidRPr="00D76171" w:rsidRDefault="003314CA" w:rsidP="007D5039">
      <w:pPr>
        <w:numPr>
          <w:ilvl w:val="0"/>
          <w:numId w:val="32"/>
        </w:numPr>
        <w:spacing w:before="0"/>
        <w:jc w:val="both"/>
        <w:rPr>
          <w:rFonts w:eastAsia="Calibri" w:cs="Arial"/>
          <w:szCs w:val="20"/>
          <w:lang w:eastAsia="en-US"/>
        </w:rPr>
      </w:pPr>
      <w:r>
        <w:rPr>
          <w:rFonts w:cs="Arial"/>
          <w:szCs w:val="20"/>
        </w:rPr>
        <w:t>Vyšší z</w:t>
      </w:r>
      <w:r w:rsidR="00F86723" w:rsidRPr="00831302">
        <w:rPr>
          <w:rFonts w:cs="Arial"/>
          <w:szCs w:val="20"/>
        </w:rPr>
        <w:t>hotovitel koordinuje činnosti všech subjektů podílejících se na stavbě</w:t>
      </w:r>
      <w:r w:rsidR="00F86723">
        <w:rPr>
          <w:rFonts w:cs="Arial"/>
          <w:szCs w:val="20"/>
        </w:rPr>
        <w:t>, zejména:</w:t>
      </w:r>
      <w:r w:rsidR="00F86723" w:rsidRPr="00831302">
        <w:rPr>
          <w:rFonts w:cs="Arial"/>
          <w:szCs w:val="20"/>
        </w:rPr>
        <w:t xml:space="preserve"> </w:t>
      </w:r>
    </w:p>
    <w:p w14:paraId="42A6F0BF" w14:textId="77777777" w:rsidR="00310A37" w:rsidRPr="00310A37" w:rsidRDefault="00310A37" w:rsidP="007D5039">
      <w:pPr>
        <w:numPr>
          <w:ilvl w:val="0"/>
          <w:numId w:val="36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zpracuje Dokumentaci o rizicích a opatřeních k zajištění bezpečnosti a ochrany zdraví osob na staveništi</w:t>
      </w:r>
    </w:p>
    <w:p w14:paraId="196EB3DE" w14:textId="77777777" w:rsidR="00310A37" w:rsidRPr="00310A37" w:rsidRDefault="00310A37" w:rsidP="007D5039">
      <w:pPr>
        <w:numPr>
          <w:ilvl w:val="0"/>
          <w:numId w:val="36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stanoví minimální požadavky na vybavení OOPP všech osob pohybujících se po stavbě.</w:t>
      </w:r>
    </w:p>
    <w:p w14:paraId="46F71561" w14:textId="77777777" w:rsidR="00310A37" w:rsidRPr="00310A37" w:rsidRDefault="00310A37" w:rsidP="007D5039">
      <w:pPr>
        <w:numPr>
          <w:ilvl w:val="0"/>
          <w:numId w:val="36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vyžaduje a kontroluje dodržování pravidel BOZP a PO. Na stavbě musí být trvale přítomen stavbyvedoucí nebo jeho zodpovědný zástupce.</w:t>
      </w:r>
    </w:p>
    <w:p w14:paraId="0FFBF9E4" w14:textId="77777777" w:rsidR="00310A37" w:rsidRPr="00310A37" w:rsidRDefault="00310A37" w:rsidP="007D5039">
      <w:pPr>
        <w:numPr>
          <w:ilvl w:val="0"/>
          <w:numId w:val="36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v případě ohrožení bezpečnosti je stavbyvedoucí nebo jeho zodpovědný zástupce oprávněn vykázat ze stavby osoby nebo zastavit činnosti a kontaktovat Vedoucího projektu investora. Obnovení činností je možné až po odstranění příčin ohrožení.</w:t>
      </w:r>
    </w:p>
    <w:p w14:paraId="50AE5686" w14:textId="77777777" w:rsidR="00310A37" w:rsidRPr="00310A37" w:rsidRDefault="00310A37" w:rsidP="007D5039">
      <w:pPr>
        <w:spacing w:before="0"/>
        <w:jc w:val="both"/>
        <w:rPr>
          <w:rFonts w:eastAsia="Calibri" w:cs="Arial"/>
          <w:bCs w:val="0"/>
          <w:szCs w:val="20"/>
          <w:lang w:eastAsia="en-US"/>
        </w:rPr>
      </w:pPr>
    </w:p>
    <w:p w14:paraId="4B3A4372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Na stavbě musí být trvale k dispozici:</w:t>
      </w:r>
    </w:p>
    <w:p w14:paraId="153A546B" w14:textId="77777777" w:rsidR="00310A37" w:rsidRPr="00310A37" w:rsidRDefault="00310A37" w:rsidP="007D5039">
      <w:pPr>
        <w:numPr>
          <w:ilvl w:val="0"/>
          <w:numId w:val="33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Dokumentace o rizicích a opatřeních k zajištění bezpečnosti a ochrany zdraví osob na staveništi</w:t>
      </w:r>
    </w:p>
    <w:p w14:paraId="79C544D7" w14:textId="77777777" w:rsidR="00310A37" w:rsidRPr="00310A37" w:rsidRDefault="00310A37" w:rsidP="007D5039">
      <w:pPr>
        <w:numPr>
          <w:ilvl w:val="0"/>
          <w:numId w:val="33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Záznam o seznámení všech osob s dokumentací dle bodu a)</w:t>
      </w:r>
    </w:p>
    <w:p w14:paraId="1FEEE03F" w14:textId="77777777" w:rsidR="00310A37" w:rsidRPr="00310A37" w:rsidRDefault="00310A37" w:rsidP="007D5039">
      <w:pPr>
        <w:numPr>
          <w:ilvl w:val="0"/>
          <w:numId w:val="33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Stavební deník</w:t>
      </w:r>
    </w:p>
    <w:p w14:paraId="2A1D9958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Zabezpečení staveniště:</w:t>
      </w:r>
    </w:p>
    <w:p w14:paraId="4C90913F" w14:textId="77777777" w:rsidR="00310A37" w:rsidRPr="00310A37" w:rsidRDefault="00310A37" w:rsidP="007D5039">
      <w:pPr>
        <w:spacing w:before="0" w:after="200" w:line="276" w:lineRule="auto"/>
        <w:ind w:left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Souvislé  oplocení  do výšky nejméně 1,8 m. Přitom  co nejméně narušit přilehlé  prostory  a  provoz  na  nich. Náhradní komunikace řádně vyznačené</w:t>
      </w:r>
    </w:p>
    <w:p w14:paraId="6120F447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Označení staveniště</w:t>
      </w:r>
    </w:p>
    <w:p w14:paraId="48483231" w14:textId="77777777" w:rsidR="00310A37" w:rsidRPr="00310A37" w:rsidRDefault="00310A37" w:rsidP="007D5039">
      <w:pPr>
        <w:numPr>
          <w:ilvl w:val="0"/>
          <w:numId w:val="34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na všech vstupech  dle obrázku ( příkazová značka bude vždy  nahrazena více značkami konkretizujícími požadavky na OOPP – např. POUŽÍVEJ OCHRANNOU PŘILBU… VESTU…OBUV apod. v souladu s bodem 2. a)</w:t>
      </w:r>
    </w:p>
    <w:p w14:paraId="14BA58F2" w14:textId="77777777" w:rsidR="00310A37" w:rsidRPr="00310A37" w:rsidRDefault="00C15287" w:rsidP="00310A37">
      <w:pPr>
        <w:spacing w:before="0" w:after="200" w:line="276" w:lineRule="auto"/>
        <w:contextualSpacing/>
        <w:jc w:val="center"/>
        <w:rPr>
          <w:rFonts w:eastAsia="Calibri" w:cs="Arial"/>
          <w:bCs w:val="0"/>
          <w:noProof/>
          <w:szCs w:val="20"/>
        </w:rPr>
      </w:pPr>
      <w:r w:rsidRPr="00310A37">
        <w:rPr>
          <w:rFonts w:eastAsia="Calibri" w:cs="Arial"/>
          <w:bCs w:val="0"/>
          <w:noProof/>
          <w:szCs w:val="20"/>
          <w:lang w:val="sk-SK" w:eastAsia="sk-SK"/>
        </w:rPr>
        <w:drawing>
          <wp:inline distT="0" distB="0" distL="0" distR="0" wp14:anchorId="0EC31B85" wp14:editId="6E038120">
            <wp:extent cx="714375" cy="1009650"/>
            <wp:effectExtent l="19050" t="19050" r="952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096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310A37" w:rsidRPr="00310A37">
        <w:rPr>
          <w:rFonts w:eastAsia="Calibri" w:cs="Arial"/>
          <w:bCs w:val="0"/>
          <w:szCs w:val="20"/>
          <w:lang w:eastAsia="en-US"/>
        </w:rPr>
        <w:t xml:space="preserve">   </w:t>
      </w:r>
      <w:r w:rsidRPr="00310A37">
        <w:rPr>
          <w:rFonts w:eastAsia="Calibri" w:cs="Arial"/>
          <w:bCs w:val="0"/>
          <w:noProof/>
          <w:szCs w:val="20"/>
          <w:lang w:val="sk-SK" w:eastAsia="sk-SK"/>
        </w:rPr>
        <w:drawing>
          <wp:inline distT="0" distB="0" distL="0" distR="0" wp14:anchorId="177D913A" wp14:editId="5D809FA8">
            <wp:extent cx="704850" cy="1009650"/>
            <wp:effectExtent l="19050" t="19050" r="0" b="0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096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310A37" w:rsidRPr="00310A37">
        <w:rPr>
          <w:rFonts w:eastAsia="Calibri" w:cs="Arial"/>
          <w:bCs w:val="0"/>
          <w:szCs w:val="20"/>
          <w:lang w:eastAsia="en-US"/>
        </w:rPr>
        <w:t xml:space="preserve">  </w:t>
      </w:r>
      <w:r w:rsidRPr="00310A37">
        <w:rPr>
          <w:rFonts w:eastAsia="Calibri" w:cs="Arial"/>
          <w:bCs w:val="0"/>
          <w:noProof/>
          <w:szCs w:val="20"/>
          <w:lang w:val="sk-SK" w:eastAsia="sk-SK"/>
        </w:rPr>
        <w:drawing>
          <wp:inline distT="0" distB="0" distL="0" distR="0" wp14:anchorId="76AA53C4" wp14:editId="7F5C77DE">
            <wp:extent cx="723900" cy="1009650"/>
            <wp:effectExtent l="19050" t="19050" r="0" b="0"/>
            <wp:docPr id="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BF2F8E8" w14:textId="77777777" w:rsidR="00310A37" w:rsidRPr="00310A37" w:rsidRDefault="00310A37" w:rsidP="00310A37">
      <w:pPr>
        <w:spacing w:before="0" w:after="200" w:line="276" w:lineRule="auto"/>
        <w:ind w:left="720"/>
        <w:contextualSpacing/>
        <w:rPr>
          <w:rFonts w:eastAsia="Calibri" w:cs="Arial"/>
          <w:bCs w:val="0"/>
          <w:szCs w:val="20"/>
          <w:lang w:eastAsia="en-US"/>
        </w:rPr>
      </w:pPr>
    </w:p>
    <w:p w14:paraId="4343B093" w14:textId="77777777" w:rsidR="00310A37" w:rsidRPr="00310A37" w:rsidRDefault="00310A37" w:rsidP="007D5039">
      <w:pPr>
        <w:numPr>
          <w:ilvl w:val="0"/>
          <w:numId w:val="34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Na viditelném místě musí být po celou dobu stavby uvedena důležitá telefonní čísla a jmenovitě kontakt na zodpovědnou osobu – stavbyvedoucího / mistra stavby. Pro případ nepřítomnosti stavbyvedoucího / mistra stavby musí být uveden i zodpovědný zástupce. </w:t>
      </w:r>
    </w:p>
    <w:p w14:paraId="16D9DE82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Všechny osoby musí být prokazatelně seznámeny s:</w:t>
      </w:r>
    </w:p>
    <w:p w14:paraId="3F39D24E" w14:textId="17E6DE56" w:rsidR="00310A37" w:rsidRPr="00310A37" w:rsidRDefault="00310A37" w:rsidP="007D5039">
      <w:pPr>
        <w:numPr>
          <w:ilvl w:val="0"/>
          <w:numId w:val="35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určenými dopravními komunikacemi a únikovými cestami, s prostory se zákazem vstupu (zejména prostory s nebezpečím výbuchu není-li práce v nich součástí zakázky  - blíže viz bod </w:t>
      </w:r>
      <w:r>
        <w:rPr>
          <w:rFonts w:eastAsia="Calibri" w:cs="Arial"/>
          <w:bCs w:val="0"/>
          <w:szCs w:val="20"/>
          <w:lang w:eastAsia="en-US"/>
        </w:rPr>
        <w:t>7</w:t>
      </w:r>
      <w:r w:rsidRPr="00310A37">
        <w:rPr>
          <w:rFonts w:eastAsia="Calibri" w:cs="Arial"/>
          <w:bCs w:val="0"/>
          <w:szCs w:val="20"/>
          <w:lang w:eastAsia="en-US"/>
        </w:rPr>
        <w:t>)</w:t>
      </w:r>
    </w:p>
    <w:p w14:paraId="2845D334" w14:textId="77777777" w:rsidR="00310A37" w:rsidRPr="00310A37" w:rsidRDefault="00310A37" w:rsidP="007D5039">
      <w:pPr>
        <w:numPr>
          <w:ilvl w:val="0"/>
          <w:numId w:val="35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umístěním hlavního vypínače elektrické energie pro staveniště a připojovacími místy pro připojení elektrických strojů, nářadí a dalších spotřebičů pro potřeby stavby</w:t>
      </w:r>
    </w:p>
    <w:p w14:paraId="19C435B4" w14:textId="77777777" w:rsidR="00310A37" w:rsidRPr="00310A37" w:rsidRDefault="00310A37" w:rsidP="007D5039">
      <w:pPr>
        <w:numPr>
          <w:ilvl w:val="0"/>
          <w:numId w:val="35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postupy při vzniku mimořádné události a umístěním prostředků první pomoci</w:t>
      </w:r>
    </w:p>
    <w:p w14:paraId="174CFCA1" w14:textId="77777777" w:rsidR="00310A37" w:rsidRPr="00310A37" w:rsidRDefault="00310A37" w:rsidP="007D5039">
      <w:pPr>
        <w:spacing w:before="0"/>
        <w:jc w:val="both"/>
        <w:rPr>
          <w:rFonts w:cs="Arial"/>
          <w:bCs w:val="0"/>
          <w:szCs w:val="20"/>
          <w:lang w:eastAsia="pl-PL"/>
        </w:rPr>
      </w:pPr>
    </w:p>
    <w:p w14:paraId="7F8475D7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Základní zásady BOZP a PO</w:t>
      </w:r>
    </w:p>
    <w:p w14:paraId="17A9B2A4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Všechny práce smí provádět pouze odborně a zdravotně způsobilé osoby dle zvláštních předpisů</w:t>
      </w:r>
    </w:p>
    <w:p w14:paraId="64370907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Práce se zvýšeným nebezpečím požáru smí být prováděny pouze za podmínek uvedených v bodu </w:t>
      </w:r>
      <w:r>
        <w:rPr>
          <w:rFonts w:eastAsia="Calibri" w:cs="Arial"/>
          <w:bCs w:val="0"/>
          <w:szCs w:val="20"/>
          <w:lang w:eastAsia="en-US"/>
        </w:rPr>
        <w:t>8</w:t>
      </w:r>
    </w:p>
    <w:p w14:paraId="2E624E60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Na stavbě musí být udržován pořádek. Materiál, nářadí, nástroje, odpady a další předměty  musí být uloženy tak, aby nebránily případné evakuaci z prostor staveniště, byly zajištěny proti rozvalení, posunutí, zhroucení, pádu nebo úniku do okolního prostředí.</w:t>
      </w:r>
    </w:p>
    <w:p w14:paraId="0C6583E2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Na stavbě platí zákaz kouření mimo vyhrazená místa</w:t>
      </w:r>
    </w:p>
    <w:p w14:paraId="2D8121C3" w14:textId="0EEC560C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Elektrické rozvaděče musí být zajištěny proti neoprávněné manipulaci. Ponechávaná původní elektroinstalace musí být chráněna proti poškození (vyvěšením apod.), volné konce vodičů musí být zaizolovány.</w:t>
      </w:r>
    </w:p>
    <w:p w14:paraId="4DF8F335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proofErr w:type="spellStart"/>
      <w:r w:rsidRPr="00310A37">
        <w:rPr>
          <w:rFonts w:eastAsia="Calibri" w:cs="Arial"/>
          <w:bCs w:val="0"/>
          <w:szCs w:val="20"/>
          <w:lang w:eastAsia="en-US"/>
        </w:rPr>
        <w:t>Prodlužováky</w:t>
      </w:r>
      <w:proofErr w:type="spellEnd"/>
      <w:r w:rsidRPr="00310A37">
        <w:rPr>
          <w:rFonts w:eastAsia="Calibri" w:cs="Arial"/>
          <w:bCs w:val="0"/>
          <w:szCs w:val="20"/>
          <w:lang w:eastAsia="en-US"/>
        </w:rPr>
        <w:t xml:space="preserve"> a ostatní dočasná vedení musí být zajištěny proti poškození. Nepoužívané elektrické nářadí musí být odpojeno od sítě.</w:t>
      </w:r>
    </w:p>
    <w:p w14:paraId="62970906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lastRenderedPageBreak/>
        <w:t>Pro výstup / sestup nebo zvyšování místa práce se smí používat pouze prostředky k tomu určené v bezvadném stavu</w:t>
      </w:r>
      <w:r w:rsidR="00D434C1">
        <w:rPr>
          <w:rFonts w:eastAsia="Calibri" w:cs="Arial"/>
          <w:bCs w:val="0"/>
          <w:szCs w:val="20"/>
          <w:lang w:eastAsia="en-US"/>
        </w:rPr>
        <w:t xml:space="preserve">, </w:t>
      </w:r>
      <w:r w:rsidR="0031389A">
        <w:rPr>
          <w:rFonts w:eastAsia="Calibri" w:cs="Arial"/>
          <w:bCs w:val="0"/>
          <w:szCs w:val="20"/>
          <w:lang w:eastAsia="en-US"/>
        </w:rPr>
        <w:t>specifické požadavky na t</w:t>
      </w:r>
      <w:r w:rsidR="00E714AE">
        <w:rPr>
          <w:rFonts w:eastAsia="Calibri" w:cs="Arial"/>
          <w:bCs w:val="0"/>
          <w:szCs w:val="20"/>
          <w:lang w:eastAsia="en-US"/>
        </w:rPr>
        <w:t>y</w:t>
      </w:r>
      <w:r w:rsidR="0031389A">
        <w:rPr>
          <w:rFonts w:eastAsia="Calibri" w:cs="Arial"/>
          <w:bCs w:val="0"/>
          <w:szCs w:val="20"/>
          <w:lang w:eastAsia="en-US"/>
        </w:rPr>
        <w:t>to prostředky jsou uvedeny v</w:t>
      </w:r>
      <w:r w:rsidR="0086425F">
        <w:rPr>
          <w:rFonts w:eastAsia="Calibri" w:cs="Arial"/>
          <w:bCs w:val="0"/>
          <w:szCs w:val="20"/>
          <w:lang w:eastAsia="en-US"/>
        </w:rPr>
        <w:t xml:space="preserve">e </w:t>
      </w:r>
      <w:r w:rsidR="00ED41EE">
        <w:rPr>
          <w:rFonts w:eastAsia="Calibri" w:cs="Arial"/>
          <w:bCs w:val="0"/>
          <w:szCs w:val="20"/>
          <w:lang w:eastAsia="en-US"/>
        </w:rPr>
        <w:t>s</w:t>
      </w:r>
      <w:r w:rsidR="0086425F">
        <w:rPr>
          <w:rFonts w:eastAsia="Calibri" w:cs="Arial"/>
          <w:bCs w:val="0"/>
          <w:szCs w:val="20"/>
          <w:lang w:eastAsia="en-US"/>
        </w:rPr>
        <w:t>měrnici 427</w:t>
      </w:r>
      <w:r w:rsidR="00ED41EE">
        <w:rPr>
          <w:rFonts w:eastAsia="Calibri" w:cs="Arial"/>
          <w:bCs w:val="0"/>
          <w:szCs w:val="20"/>
          <w:lang w:eastAsia="en-US"/>
        </w:rPr>
        <w:t xml:space="preserve"> „</w:t>
      </w:r>
      <w:r w:rsidR="0086425F" w:rsidRPr="00ED41EE">
        <w:rPr>
          <w:rFonts w:eastAsia="Calibri" w:cs="Arial"/>
          <w:szCs w:val="20"/>
          <w:lang w:eastAsia="en-US"/>
        </w:rPr>
        <w:t>Přenosné žebříky</w:t>
      </w:r>
      <w:r w:rsidR="00ED41EE">
        <w:rPr>
          <w:rFonts w:eastAsia="Calibri" w:cs="Arial"/>
          <w:szCs w:val="20"/>
          <w:lang w:eastAsia="en-US"/>
        </w:rPr>
        <w:t>“.</w:t>
      </w:r>
    </w:p>
    <w:p w14:paraId="5742240A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Při práci ve výšce musí být všichni dotčení zaměstnanci chráněni proti pádu kolektivními nebo individuálními prostředky proti pádu. Tato povinnost platí i pro vstup na střechu kiosku nebo přestřešení výdejní plochy. </w:t>
      </w:r>
    </w:p>
    <w:p w14:paraId="1F6D6CF3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Při práci na lešení, pracovní plošině nebo jiném pracovišti ve výšce nad 3 m musí být vytvořeno ochranné pásmo min. 1,5 m od všech volných okrajů pracoviště , do něhož nesmí vstupovat osoby a vjíždět vozidla – vytyčovací páskou, dopravními kužely apod.</w:t>
      </w:r>
    </w:p>
    <w:p w14:paraId="43F96D89" w14:textId="77777777" w:rsidR="00310A37" w:rsidRPr="00310A37" w:rsidRDefault="00310A37" w:rsidP="007D5039">
      <w:pPr>
        <w:numPr>
          <w:ilvl w:val="0"/>
          <w:numId w:val="37"/>
        </w:numPr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Nepoužívané  otvory,  prohlubně, jámy, výkopy apod. musí být zakryty nebo ohrazeny. Zakrytí musí být odolné předpokládané zátěži a musí být zajištěno proti posunutí</w:t>
      </w:r>
    </w:p>
    <w:p w14:paraId="52EBF0A4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Nebezpečí výbuchu</w:t>
      </w:r>
    </w:p>
    <w:p w14:paraId="407BB58B" w14:textId="77777777" w:rsidR="00310A37" w:rsidRPr="00310A37" w:rsidRDefault="00310A37" w:rsidP="007D5039">
      <w:pPr>
        <w:numPr>
          <w:ilvl w:val="0"/>
          <w:numId w:val="38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Na ČS Benzina jsou prostory s nebezpečím výbuchu definovány následovně</w:t>
      </w:r>
    </w:p>
    <w:p w14:paraId="64F079E6" w14:textId="77777777" w:rsidR="00310A37" w:rsidRPr="00310A37" w:rsidRDefault="00310A37" w:rsidP="007D5039">
      <w:pPr>
        <w:tabs>
          <w:tab w:val="left" w:pos="426"/>
        </w:tabs>
        <w:spacing w:after="120"/>
        <w:ind w:left="360"/>
        <w:jc w:val="both"/>
        <w:rPr>
          <w:rFonts w:cs="Arial"/>
          <w:bCs w:val="0"/>
          <w:i/>
          <w:szCs w:val="20"/>
          <w:lang w:eastAsia="pl-PL"/>
        </w:rPr>
      </w:pPr>
      <w:r w:rsidRPr="00310A37">
        <w:rPr>
          <w:rFonts w:cs="Arial"/>
          <w:bCs w:val="0"/>
          <w:i/>
          <w:szCs w:val="20"/>
          <w:lang w:eastAsia="pl-PL"/>
        </w:rPr>
        <w:t>Zóna 0 - výbušná atmosféra (plyn, pára, mlha)   je přítomna často, po dlouhou dobu nebo trvale - vnitřní prostor palivových a rekuperačních potrubí, vnitřní prostor nádrží.</w:t>
      </w:r>
    </w:p>
    <w:p w14:paraId="788155AD" w14:textId="77777777" w:rsidR="00310A37" w:rsidRPr="00310A37" w:rsidRDefault="00310A37" w:rsidP="007D5039">
      <w:pPr>
        <w:tabs>
          <w:tab w:val="left" w:pos="426"/>
        </w:tabs>
        <w:spacing w:after="120"/>
        <w:ind w:left="360"/>
        <w:jc w:val="both"/>
        <w:rPr>
          <w:rFonts w:cs="Arial"/>
          <w:bCs w:val="0"/>
          <w:i/>
          <w:szCs w:val="20"/>
          <w:lang w:eastAsia="pl-PL"/>
        </w:rPr>
      </w:pPr>
      <w:r w:rsidRPr="00310A37">
        <w:rPr>
          <w:rFonts w:cs="Arial"/>
          <w:bCs w:val="0"/>
          <w:i/>
          <w:szCs w:val="20"/>
          <w:lang w:eastAsia="pl-PL"/>
        </w:rPr>
        <w:t xml:space="preserve">Zóna 1 - výbušná atmosféra (plyn, pára, mlha) se pravděpodobně občas vyskytne – vnitřní prostor skříně výdejního stojanu kromě měřící a obslužné části, šachty včetně stáčecí a uzavřené prostory kolem nádrží ( kobky ), </w:t>
      </w:r>
      <w:r w:rsidR="0031389A">
        <w:rPr>
          <w:rFonts w:cs="Arial"/>
          <w:bCs w:val="0"/>
          <w:i/>
          <w:szCs w:val="20"/>
          <w:lang w:eastAsia="pl-PL"/>
        </w:rPr>
        <w:t>1,5</w:t>
      </w:r>
      <w:r w:rsidR="0031389A" w:rsidRPr="00310A37">
        <w:rPr>
          <w:rFonts w:cs="Arial"/>
          <w:bCs w:val="0"/>
          <w:i/>
          <w:szCs w:val="20"/>
          <w:lang w:eastAsia="pl-PL"/>
        </w:rPr>
        <w:t xml:space="preserve"> </w:t>
      </w:r>
      <w:r w:rsidRPr="00310A37">
        <w:rPr>
          <w:rFonts w:cs="Arial"/>
          <w:bCs w:val="0"/>
          <w:i/>
          <w:szCs w:val="20"/>
          <w:lang w:eastAsia="pl-PL"/>
        </w:rPr>
        <w:t xml:space="preserve">m všemi směry od vyústění odvzdušňovacího potrubí a dále až k zemi, </w:t>
      </w:r>
      <w:r w:rsidR="0031389A">
        <w:rPr>
          <w:rFonts w:cs="Arial"/>
          <w:bCs w:val="0"/>
          <w:i/>
          <w:szCs w:val="20"/>
          <w:lang w:eastAsia="pl-PL"/>
        </w:rPr>
        <w:t xml:space="preserve">1,5 </w:t>
      </w:r>
      <w:r w:rsidRPr="00310A37">
        <w:rPr>
          <w:rFonts w:cs="Arial"/>
          <w:bCs w:val="0"/>
          <w:i/>
          <w:szCs w:val="20"/>
          <w:lang w:eastAsia="pl-PL"/>
        </w:rPr>
        <w:t>m vodorovně kolem a 1,5 m nad připojovací hrdlo autocisterny a okraje otevřené stáčecí šachty.</w:t>
      </w:r>
    </w:p>
    <w:p w14:paraId="14C0C7FC" w14:textId="77777777" w:rsidR="00310A37" w:rsidRPr="00310A37" w:rsidRDefault="00310A37" w:rsidP="007D5039">
      <w:pPr>
        <w:tabs>
          <w:tab w:val="left" w:pos="426"/>
        </w:tabs>
        <w:spacing w:after="120"/>
        <w:ind w:left="360"/>
        <w:jc w:val="both"/>
        <w:rPr>
          <w:rFonts w:cs="Arial"/>
          <w:bCs w:val="0"/>
          <w:i/>
          <w:szCs w:val="20"/>
          <w:lang w:eastAsia="pl-PL"/>
        </w:rPr>
      </w:pPr>
      <w:r w:rsidRPr="00310A37">
        <w:rPr>
          <w:rFonts w:cs="Arial"/>
          <w:bCs w:val="0"/>
          <w:i/>
          <w:szCs w:val="20"/>
          <w:lang w:eastAsia="pl-PL"/>
        </w:rPr>
        <w:t>Zóna 2 - výbušná atmosféra (plyn, pára, mlha) Vznik je nepravděpodobný (když ano, tak výjimečně a krátkodobě)  – 20 cm vodorovně kolem a 5 cm nad skříň výdejního stojanu kromě měřící a obslužné části, 1,5 m všemi směry od okraje zóny 1.</w:t>
      </w:r>
    </w:p>
    <w:p w14:paraId="42C4C505" w14:textId="77777777" w:rsidR="00310A37" w:rsidRPr="00310A37" w:rsidRDefault="00310A37" w:rsidP="007D5039">
      <w:pPr>
        <w:numPr>
          <w:ilvl w:val="0"/>
          <w:numId w:val="38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V případě, že se na ČS vyskytuje zařízení pro výdej LPG nebo CNG, jsou dokumentací provozovatele stanoveny další prostory s nebezpečím výbuchu, pro něž platí stejné pracovní podmínky. S těmito prostory zhotovitele seznámí </w:t>
      </w:r>
      <w:r w:rsidR="00E969B3">
        <w:rPr>
          <w:rFonts w:eastAsia="Calibri" w:cs="Arial"/>
          <w:bCs w:val="0"/>
          <w:szCs w:val="20"/>
          <w:lang w:eastAsia="en-US"/>
        </w:rPr>
        <w:t>Partner</w:t>
      </w:r>
      <w:r w:rsidRPr="00310A37">
        <w:rPr>
          <w:rFonts w:eastAsia="Calibri" w:cs="Arial"/>
          <w:bCs w:val="0"/>
          <w:szCs w:val="20"/>
          <w:lang w:eastAsia="en-US"/>
        </w:rPr>
        <w:t xml:space="preserve"> ČS.</w:t>
      </w:r>
    </w:p>
    <w:p w14:paraId="11C72CAE" w14:textId="77777777" w:rsidR="00310A37" w:rsidRPr="00310A37" w:rsidRDefault="00310A37" w:rsidP="007D5039">
      <w:pPr>
        <w:numPr>
          <w:ilvl w:val="0"/>
          <w:numId w:val="38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Pro provádění jakékoliv práce prostoru s nebezpečím výbuchu platí následující pravidla</w:t>
      </w:r>
    </w:p>
    <w:p w14:paraId="2109DD37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Zákaz kouření a manipulace s ohněm + zákaz používání mobilních telefonů a jiných elektronických zařízení !</w:t>
      </w:r>
    </w:p>
    <w:p w14:paraId="12783DD5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Všichni pracovníci vybaveni antistatickými pracovními oděvy + obuví !</w:t>
      </w:r>
    </w:p>
    <w:p w14:paraId="29E8C65C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Při práci v prostoru trvale používat funkční a </w:t>
      </w:r>
      <w:proofErr w:type="spellStart"/>
      <w:r w:rsidRPr="00310A37">
        <w:rPr>
          <w:rFonts w:eastAsia="Calibri" w:cs="Arial"/>
          <w:bCs w:val="0"/>
          <w:szCs w:val="20"/>
          <w:lang w:eastAsia="en-US"/>
        </w:rPr>
        <w:t>zkalibrovaný</w:t>
      </w:r>
      <w:proofErr w:type="spellEnd"/>
      <w:r w:rsidRPr="00310A37">
        <w:rPr>
          <w:rFonts w:eastAsia="Calibri" w:cs="Arial"/>
          <w:bCs w:val="0"/>
          <w:szCs w:val="20"/>
          <w:lang w:eastAsia="en-US"/>
        </w:rPr>
        <w:t xml:space="preserve"> detektor hořlavých plynů a par (uhlovodíky) nebo používat pouze nářadí, nástroje a další prostředky určené pro použití v EX prostředí, tzv. nejiskřivé !</w:t>
      </w:r>
    </w:p>
    <w:p w14:paraId="620E70D1" w14:textId="77777777" w:rsidR="00310A37" w:rsidRPr="00310A37" w:rsidRDefault="00310A37" w:rsidP="00310A37">
      <w:pPr>
        <w:spacing w:before="0" w:after="200" w:line="276" w:lineRule="auto"/>
        <w:ind w:left="426"/>
        <w:contextualSpacing/>
        <w:rPr>
          <w:rFonts w:eastAsia="Calibri" w:cs="Arial"/>
          <w:bCs w:val="0"/>
          <w:i/>
          <w:szCs w:val="20"/>
          <w:lang w:eastAsia="en-US"/>
        </w:rPr>
      </w:pPr>
    </w:p>
    <w:p w14:paraId="5F0AE102" w14:textId="77777777" w:rsidR="00310A37" w:rsidRPr="00310A37" w:rsidRDefault="00310A37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 xml:space="preserve">Práce se zvýšeným nebezpečím požáru </w:t>
      </w:r>
    </w:p>
    <w:p w14:paraId="3F66F6D3" w14:textId="77777777" w:rsidR="00310A37" w:rsidRPr="00310A37" w:rsidRDefault="00310A37" w:rsidP="007D5039">
      <w:pPr>
        <w:numPr>
          <w:ilvl w:val="0"/>
          <w:numId w:val="40"/>
        </w:numPr>
        <w:tabs>
          <w:tab w:val="left" w:pos="426"/>
        </w:tabs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Jedná se o tyto práce</w:t>
      </w:r>
      <w:r w:rsidRPr="00310A37">
        <w:rPr>
          <w:rFonts w:eastAsia="Calibri" w:cs="Arial"/>
          <w:bCs w:val="0"/>
          <w:szCs w:val="20"/>
          <w:lang w:eastAsia="en-US"/>
        </w:rPr>
        <w:tab/>
      </w:r>
    </w:p>
    <w:p w14:paraId="6C17C21C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svařování, jímž se rozumí tepelné spojování, drážkování a tepelné dělení kovových i nekovových materiálů, pokud jsou prováděny otevřeným plamenem, elektrickým obloukem, plazmou, elektrickým odporem, laserem, třením, aluminotermickým svařováním,</w:t>
      </w:r>
    </w:p>
    <w:p w14:paraId="667E949F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používání elektrických pájedel, benzínových pájecích lamp, PB hořáků a horkovzdušných pistolí</w:t>
      </w:r>
    </w:p>
    <w:p w14:paraId="211879B2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nahřívání živic v tavných nádobách,</w:t>
      </w:r>
    </w:p>
    <w:p w14:paraId="430164A6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>broušení a řezání kovového materiálu s výjimkou použití ručního nářadí bez pohonu,</w:t>
      </w:r>
    </w:p>
    <w:p w14:paraId="277F1CFB" w14:textId="77777777" w:rsidR="00310A37" w:rsidRPr="00310A37" w:rsidRDefault="00310A37" w:rsidP="007D5039">
      <w:pPr>
        <w:numPr>
          <w:ilvl w:val="0"/>
          <w:numId w:val="39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použití jiskřivého nářadí a přístrojů, strojů a zařízení v prostředí s nebezpečím výbuchu neodpovídajících požadavkům pro použití do prostoru s nebezpečím výbuchu (zóna 0, 1 a 2) dle stanovené klasifikace - elektromechanické, pneumatické, hydraulické nářadí, ruční nářadí, měřící, diagnostické a záznamové </w:t>
      </w:r>
      <w:proofErr w:type="spellStart"/>
      <w:r w:rsidRPr="00310A37">
        <w:rPr>
          <w:rFonts w:eastAsia="Calibri" w:cs="Arial"/>
          <w:bCs w:val="0"/>
          <w:szCs w:val="20"/>
          <w:lang w:eastAsia="en-US"/>
        </w:rPr>
        <w:t>přístroje,vjezd</w:t>
      </w:r>
      <w:proofErr w:type="spellEnd"/>
      <w:r w:rsidRPr="00310A37">
        <w:rPr>
          <w:rFonts w:eastAsia="Calibri" w:cs="Arial"/>
          <w:bCs w:val="0"/>
          <w:szCs w:val="20"/>
          <w:lang w:eastAsia="en-US"/>
        </w:rPr>
        <w:t xml:space="preserve"> motorových vozidel, používání agregátů se spalovacími nebo elektrickými motory, provoz zdrojů elektrické </w:t>
      </w:r>
      <w:proofErr w:type="spellStart"/>
      <w:r w:rsidRPr="00310A37">
        <w:rPr>
          <w:rFonts w:eastAsia="Calibri" w:cs="Arial"/>
          <w:bCs w:val="0"/>
          <w:szCs w:val="20"/>
          <w:lang w:eastAsia="en-US"/>
        </w:rPr>
        <w:t>energie,montáž</w:t>
      </w:r>
      <w:proofErr w:type="spellEnd"/>
      <w:r w:rsidRPr="00310A37">
        <w:rPr>
          <w:rFonts w:eastAsia="Calibri" w:cs="Arial"/>
          <w:bCs w:val="0"/>
          <w:szCs w:val="20"/>
          <w:lang w:eastAsia="en-US"/>
        </w:rPr>
        <w:t>, demontáž a úpravy lešenářských konstrukcí</w:t>
      </w:r>
    </w:p>
    <w:p w14:paraId="52879982" w14:textId="77777777" w:rsidR="00310A37" w:rsidRPr="00310A37" w:rsidRDefault="00310A37" w:rsidP="007D5039">
      <w:pPr>
        <w:spacing w:before="0"/>
        <w:ind w:left="720"/>
        <w:jc w:val="both"/>
        <w:rPr>
          <w:rFonts w:eastAsia="Calibri" w:cs="Arial"/>
          <w:bCs w:val="0"/>
          <w:szCs w:val="20"/>
          <w:lang w:eastAsia="en-US"/>
        </w:rPr>
      </w:pPr>
    </w:p>
    <w:p w14:paraId="3718DF47" w14:textId="77777777" w:rsidR="00310A37" w:rsidRPr="00310A37" w:rsidRDefault="00310A37" w:rsidP="007D5039">
      <w:pPr>
        <w:numPr>
          <w:ilvl w:val="0"/>
          <w:numId w:val="40"/>
        </w:numPr>
        <w:spacing w:before="0" w:after="200" w:line="276" w:lineRule="auto"/>
        <w:ind w:left="426" w:hanging="426"/>
        <w:contextualSpacing/>
        <w:jc w:val="both"/>
        <w:rPr>
          <w:rFonts w:eastAsia="Calibri" w:cs="Arial"/>
          <w:bCs w:val="0"/>
          <w:szCs w:val="20"/>
          <w:lang w:eastAsia="en-US"/>
        </w:rPr>
      </w:pPr>
      <w:r w:rsidRPr="00310A37">
        <w:rPr>
          <w:rFonts w:eastAsia="Calibri" w:cs="Arial"/>
          <w:bCs w:val="0"/>
          <w:szCs w:val="20"/>
          <w:lang w:eastAsia="en-US"/>
        </w:rPr>
        <w:t xml:space="preserve">Tyto práce jsou, pokud je to možné, prováděny přednostně ve venkovním prostoru na zpevněné ploše ve vzdálenosti nejméně 5 m od všech staveb a zařízení (kiosek, mycí hala, vysavač, kompresor)  a 10 m od technologických zařízení ČS (nádrže a jímky, stojany, odvzdušňovací potrubí). V těchto podmínkách </w:t>
      </w:r>
      <w:r w:rsidRPr="00310A37">
        <w:rPr>
          <w:rFonts w:eastAsia="Calibri" w:cs="Arial"/>
          <w:bCs w:val="0"/>
          <w:szCs w:val="20"/>
          <w:lang w:eastAsia="en-US"/>
        </w:rPr>
        <w:lastRenderedPageBreak/>
        <w:t>postačuje provést základní požárně bezpečnostní opatření – 2 ks hasících přístrojů v dosahu, odstranění nebo zakrytí všech hořlavých materiálů a předmětů, zamezení přístupu osob</w:t>
      </w:r>
    </w:p>
    <w:p w14:paraId="503A7278" w14:textId="77777777" w:rsidR="00F86723" w:rsidRDefault="00310A37" w:rsidP="007D5039">
      <w:pPr>
        <w:jc w:val="both"/>
        <w:rPr>
          <w:rFonts w:cs="Arial"/>
          <w:bCs w:val="0"/>
          <w:szCs w:val="20"/>
          <w:lang w:eastAsia="pl-PL"/>
        </w:rPr>
      </w:pPr>
      <w:r w:rsidRPr="00310A37">
        <w:rPr>
          <w:rFonts w:cs="Arial"/>
          <w:bCs w:val="0"/>
          <w:szCs w:val="20"/>
          <w:lang w:eastAsia="pl-PL"/>
        </w:rPr>
        <w:t>Nejsou-li splněny podmínky uvedené v bodu b), jedná se o práce vyžadující zvláštní požárně/bezpečnostní opatření, která musí být stanovena písemně pro každou práci zvlášť – zejména trvalý požární dozor při práci a následný dozor po skončení práce.</w:t>
      </w:r>
    </w:p>
    <w:p w14:paraId="6D4650F7" w14:textId="77777777" w:rsidR="0031389A" w:rsidRDefault="0031389A" w:rsidP="007D5039">
      <w:pPr>
        <w:jc w:val="both"/>
        <w:rPr>
          <w:rFonts w:cs="Arial"/>
          <w:bCs w:val="0"/>
          <w:szCs w:val="20"/>
          <w:lang w:eastAsia="pl-PL"/>
        </w:rPr>
      </w:pPr>
    </w:p>
    <w:p w14:paraId="3D9CF8BC" w14:textId="77777777" w:rsidR="0031389A" w:rsidRPr="00033443" w:rsidRDefault="0031389A" w:rsidP="007D5039">
      <w:pPr>
        <w:numPr>
          <w:ilvl w:val="0"/>
          <w:numId w:val="32"/>
        </w:numPr>
        <w:spacing w:before="0"/>
        <w:jc w:val="both"/>
        <w:rPr>
          <w:rFonts w:cs="Arial"/>
          <w:bCs w:val="0"/>
          <w:szCs w:val="20"/>
          <w:lang w:eastAsia="pl-PL"/>
        </w:rPr>
      </w:pPr>
      <w:r w:rsidRPr="00033443">
        <w:rPr>
          <w:rFonts w:cs="Arial"/>
          <w:bCs w:val="0"/>
          <w:szCs w:val="20"/>
          <w:lang w:eastAsia="pl-PL"/>
        </w:rPr>
        <w:t xml:space="preserve">Montáž, demontáž a používání lešení </w:t>
      </w:r>
    </w:p>
    <w:p w14:paraId="49FF1871" w14:textId="77777777" w:rsidR="0031389A" w:rsidRDefault="0031389A" w:rsidP="007D5039">
      <w:pPr>
        <w:numPr>
          <w:ilvl w:val="0"/>
          <w:numId w:val="51"/>
        </w:numPr>
        <w:tabs>
          <w:tab w:val="left" w:pos="426"/>
        </w:tabs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 xml:space="preserve">Stavět, bourat nebo upravovat lešení smí pouze osoby prokazatelně seznámené s návodem výrobce </w:t>
      </w:r>
    </w:p>
    <w:p w14:paraId="5A598037" w14:textId="77777777" w:rsidR="0031389A" w:rsidRDefault="0031389A" w:rsidP="007D5039">
      <w:pPr>
        <w:numPr>
          <w:ilvl w:val="0"/>
          <w:numId w:val="51"/>
        </w:numPr>
        <w:tabs>
          <w:tab w:val="left" w:pos="426"/>
        </w:tabs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Ten, kdo lešení postavil, jej opatří tabulkou s Protokolem o předání a převzetí lešení s uvedením povoleného počtu současně zatížených podlah a nosnosti. Před prvním použitím je povinen v Protokolu zaznamenat předání do užívání. Předávající i přejímající může být tatáž osoba.</w:t>
      </w:r>
    </w:p>
    <w:p w14:paraId="36989DAA" w14:textId="77777777" w:rsidR="0031389A" w:rsidRDefault="0031389A" w:rsidP="007D5039">
      <w:pPr>
        <w:numPr>
          <w:ilvl w:val="0"/>
          <w:numId w:val="51"/>
        </w:numPr>
        <w:tabs>
          <w:tab w:val="left" w:pos="426"/>
        </w:tabs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Přejímající je od tohoto okamžiku zodpovědný za bezpečný stav lešení.</w:t>
      </w:r>
    </w:p>
    <w:p w14:paraId="17E55AE0" w14:textId="77777777" w:rsidR="0031389A" w:rsidRDefault="0031389A" w:rsidP="007D5039">
      <w:pPr>
        <w:numPr>
          <w:ilvl w:val="0"/>
          <w:numId w:val="51"/>
        </w:numPr>
        <w:tabs>
          <w:tab w:val="left" w:pos="426"/>
        </w:tabs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Lešení musí:</w:t>
      </w:r>
    </w:p>
    <w:p w14:paraId="54DC0E3A" w14:textId="77777777" w:rsidR="0031389A" w:rsidRDefault="0031389A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být založeno pouze na dostatečně únosném terénu;  pojízdná  lešení musí být zajištěna vhodnými zařízeními proti náhodnému pohybu během práce,</w:t>
      </w:r>
    </w:p>
    <w:p w14:paraId="191AB285" w14:textId="77777777" w:rsidR="0031389A" w:rsidRDefault="0031389A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být provedeno  tak,  aby tvořilo prostorově tuhý celek, zajištěný proti lokálnímu i celkovému vybočení, posunutí nebo překlopení,</w:t>
      </w:r>
    </w:p>
    <w:p w14:paraId="303F5DED" w14:textId="77777777" w:rsidR="0031389A" w:rsidRDefault="0031389A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být dostatečně  pevné  a  odolné vůči vnějším silám a nepříznivým  vlivům;  schopné přenést předpokládané zatížení</w:t>
      </w:r>
    </w:p>
    <w:p w14:paraId="0A031D20" w14:textId="77777777" w:rsidR="0031389A" w:rsidRDefault="0031389A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rozměry, tvarem a vybavením podlah odpovídat povaze prováděných prací, podlahy  musí umožňovat bezpečný pohyb a výkon  práce  ve vhodné pracovní  poloze,</w:t>
      </w:r>
    </w:p>
    <w:p w14:paraId="348107CD" w14:textId="77777777" w:rsidR="00E714AE" w:rsidRDefault="0031389A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 xml:space="preserve">být vybaveno bezpečným výstupem, </w:t>
      </w:r>
    </w:p>
    <w:p w14:paraId="55151FA2" w14:textId="77777777" w:rsidR="0031389A" w:rsidRDefault="00E714AE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 xml:space="preserve">být vybaveno </w:t>
      </w:r>
      <w:r w:rsidR="0031389A">
        <w:rPr>
          <w:rFonts w:eastAsia="Calibri" w:cs="Arial"/>
          <w:bCs w:val="0"/>
          <w:szCs w:val="20"/>
          <w:lang w:eastAsia="en-US"/>
        </w:rPr>
        <w:t>předepsaným zábradlím a zarážkami u podlahy</w:t>
      </w:r>
      <w:r>
        <w:rPr>
          <w:rFonts w:eastAsia="Calibri" w:cs="Arial"/>
          <w:bCs w:val="0"/>
          <w:szCs w:val="20"/>
          <w:lang w:eastAsia="en-US"/>
        </w:rPr>
        <w:t>, to neplatí při výšce pracovní podlahy do 150 cm</w:t>
      </w:r>
    </w:p>
    <w:p w14:paraId="266B73BA" w14:textId="77777777" w:rsidR="0031389A" w:rsidRDefault="0031389A" w:rsidP="007D5039">
      <w:pPr>
        <w:numPr>
          <w:ilvl w:val="0"/>
          <w:numId w:val="52"/>
        </w:numPr>
        <w:spacing w:before="0"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být trvale opatřeno tabulkou s Protokolem se záznamem o kontrolách nejdéle po 14 dnech.</w:t>
      </w:r>
    </w:p>
    <w:p w14:paraId="0343734D" w14:textId="77777777" w:rsidR="0031389A" w:rsidRDefault="0031389A" w:rsidP="007D5039">
      <w:pPr>
        <w:numPr>
          <w:ilvl w:val="0"/>
          <w:numId w:val="51"/>
        </w:numPr>
        <w:tabs>
          <w:tab w:val="left" w:pos="426"/>
        </w:tabs>
        <w:spacing w:before="0" w:after="200" w:line="276" w:lineRule="auto"/>
        <w:contextualSpacing/>
        <w:jc w:val="both"/>
        <w:rPr>
          <w:rFonts w:eastAsia="Calibri" w:cs="Arial"/>
          <w:bCs w:val="0"/>
          <w:szCs w:val="20"/>
          <w:lang w:eastAsia="en-US"/>
        </w:rPr>
      </w:pPr>
      <w:r>
        <w:rPr>
          <w:rFonts w:eastAsia="Calibri" w:cs="Arial"/>
          <w:bCs w:val="0"/>
          <w:szCs w:val="20"/>
          <w:lang w:eastAsia="en-US"/>
        </w:rPr>
        <w:t>Každý je povinen před každým výstupem na lešení se vizuálně přesvědčit, že odpovídá požadavkům uvedeným v bodě d). Zjistí-li, že lešení vykazuje závady</w:t>
      </w:r>
      <w:r w:rsidR="00E714AE">
        <w:rPr>
          <w:rFonts w:eastAsia="Calibri" w:cs="Arial"/>
          <w:bCs w:val="0"/>
          <w:szCs w:val="20"/>
          <w:lang w:eastAsia="en-US"/>
        </w:rPr>
        <w:t>, nesmí jej použít a je povinen informovat přejímajícího</w:t>
      </w:r>
    </w:p>
    <w:p w14:paraId="4DAB0473" w14:textId="77777777" w:rsidR="004154BC" w:rsidRDefault="004154BC" w:rsidP="007D5039">
      <w:pPr>
        <w:jc w:val="both"/>
        <w:rPr>
          <w:rFonts w:cs="Arial"/>
          <w:bCs w:val="0"/>
          <w:szCs w:val="20"/>
          <w:lang w:eastAsia="pl-PL"/>
        </w:rPr>
      </w:pPr>
    </w:p>
    <w:p w14:paraId="34D68174" w14:textId="77777777" w:rsidR="006C18F1" w:rsidRDefault="006C18F1" w:rsidP="006C18F1">
      <w:pPr>
        <w:tabs>
          <w:tab w:val="left" w:pos="426"/>
        </w:tabs>
        <w:spacing w:before="0" w:after="200" w:line="276" w:lineRule="auto"/>
        <w:ind w:left="360"/>
        <w:contextualSpacing/>
        <w:jc w:val="both"/>
        <w:rPr>
          <w:rFonts w:cs="Arial"/>
          <w:bCs w:val="0"/>
          <w:szCs w:val="20"/>
          <w:lang w:eastAsia="pl-PL"/>
        </w:rPr>
      </w:pPr>
    </w:p>
    <w:p w14:paraId="2431092C" w14:textId="77777777" w:rsidR="004154BC" w:rsidRDefault="004154BC" w:rsidP="004154BC">
      <w:pPr>
        <w:pStyle w:val="Nadpis1"/>
        <w:numPr>
          <w:ilvl w:val="0"/>
          <w:numId w:val="0"/>
        </w:numPr>
        <w:rPr>
          <w:szCs w:val="20"/>
        </w:rPr>
        <w:sectPr w:rsidR="004154BC">
          <w:pgSz w:w="11906" w:h="16838" w:code="9"/>
          <w:pgMar w:top="1701" w:right="1134" w:bottom="1361" w:left="1134" w:header="709" w:footer="709" w:gutter="0"/>
          <w:cols w:space="708"/>
          <w:docGrid w:linePitch="360"/>
        </w:sectPr>
      </w:pPr>
    </w:p>
    <w:p w14:paraId="0839A226" w14:textId="77777777" w:rsidR="004154BC" w:rsidRPr="004154BC" w:rsidRDefault="004154BC" w:rsidP="004154BC">
      <w:pPr>
        <w:pStyle w:val="Nadpis1"/>
        <w:numPr>
          <w:ilvl w:val="0"/>
          <w:numId w:val="0"/>
        </w:numPr>
        <w:rPr>
          <w:szCs w:val="20"/>
        </w:rPr>
      </w:pPr>
      <w:bookmarkStart w:id="35" w:name="_Toc70486853"/>
      <w:r w:rsidRPr="004154BC">
        <w:rPr>
          <w:szCs w:val="20"/>
        </w:rPr>
        <w:lastRenderedPageBreak/>
        <w:t xml:space="preserve">Příloha </w:t>
      </w:r>
      <w:r>
        <w:rPr>
          <w:szCs w:val="20"/>
        </w:rPr>
        <w:t>G</w:t>
      </w:r>
      <w:r w:rsidR="00ED41EE">
        <w:rPr>
          <w:szCs w:val="20"/>
        </w:rPr>
        <w:tab/>
      </w:r>
      <w:r w:rsidRPr="004154BC">
        <w:rPr>
          <w:szCs w:val="20"/>
        </w:rPr>
        <w:t>Grafické znázornění podmínek podle jednotlivých prostorů a druhu vykonávané práce</w:t>
      </w:r>
      <w:bookmarkEnd w:id="35"/>
    </w:p>
    <w:p w14:paraId="260E3205" w14:textId="77777777" w:rsidR="004154BC" w:rsidRDefault="00C15287" w:rsidP="00FF5BF9">
      <w:r w:rsidRPr="004154BC">
        <w:rPr>
          <w:noProof/>
          <w:lang w:val="sk-SK" w:eastAsia="sk-SK"/>
        </w:rPr>
        <w:drawing>
          <wp:inline distT="0" distB="0" distL="0" distR="0" wp14:anchorId="196F6E9F" wp14:editId="62F37DAF">
            <wp:extent cx="8696325" cy="51054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1B5B9" w14:textId="77777777" w:rsidR="00922C4F" w:rsidRDefault="00922C4F" w:rsidP="00922C4F">
      <w:pPr>
        <w:pStyle w:val="Nadpis1"/>
        <w:numPr>
          <w:ilvl w:val="0"/>
          <w:numId w:val="0"/>
        </w:numPr>
        <w:rPr>
          <w:szCs w:val="20"/>
        </w:rPr>
      </w:pPr>
      <w:bookmarkStart w:id="36" w:name="_Toc70486854"/>
      <w:r w:rsidRPr="004154BC">
        <w:rPr>
          <w:szCs w:val="20"/>
        </w:rPr>
        <w:lastRenderedPageBreak/>
        <w:t xml:space="preserve">Příloha </w:t>
      </w:r>
      <w:r>
        <w:rPr>
          <w:szCs w:val="20"/>
        </w:rPr>
        <w:t>H</w:t>
      </w:r>
      <w:r w:rsidR="00ED41EE">
        <w:rPr>
          <w:szCs w:val="20"/>
        </w:rPr>
        <w:tab/>
      </w:r>
      <w:r>
        <w:rPr>
          <w:szCs w:val="20"/>
        </w:rPr>
        <w:t>Vzor Pověření příjemce</w:t>
      </w:r>
      <w:bookmarkEnd w:id="36"/>
    </w:p>
    <w:p w14:paraId="1BC52DC3" w14:textId="77777777" w:rsidR="00120963" w:rsidRPr="00120963" w:rsidRDefault="00120963" w:rsidP="00120963">
      <w:r>
        <w:t>Přední strana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Zadní strana</w:t>
      </w:r>
    </w:p>
    <w:p w14:paraId="7679441D" w14:textId="77777777" w:rsidR="00922C4F" w:rsidRPr="00922C4F" w:rsidRDefault="00C15287" w:rsidP="00922C4F">
      <w:r w:rsidRPr="004817EF">
        <w:rPr>
          <w:noProof/>
          <w:lang w:val="sk-SK" w:eastAsia="sk-SK"/>
        </w:rPr>
        <w:drawing>
          <wp:inline distT="0" distB="0" distL="0" distR="0" wp14:anchorId="32299E0F" wp14:editId="01A1661E">
            <wp:extent cx="3419475" cy="1847850"/>
            <wp:effectExtent l="0" t="0" r="0" b="0"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0963">
        <w:rPr>
          <w:noProof/>
        </w:rPr>
        <w:tab/>
      </w:r>
      <w:r w:rsidRPr="004817EF">
        <w:rPr>
          <w:noProof/>
          <w:lang w:val="sk-SK" w:eastAsia="sk-SK"/>
        </w:rPr>
        <w:drawing>
          <wp:inline distT="0" distB="0" distL="0" distR="0" wp14:anchorId="27D73703" wp14:editId="066624B8">
            <wp:extent cx="3400425" cy="1847850"/>
            <wp:effectExtent l="0" t="0" r="0" b="0"/>
            <wp:docPr id="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7082B" w14:textId="77777777" w:rsidR="00666213" w:rsidRDefault="00666213" w:rsidP="00FF5BF9"/>
    <w:p w14:paraId="4B41285F" w14:textId="77777777" w:rsidR="00911ADA" w:rsidRDefault="00911ADA" w:rsidP="00FF5BF9"/>
    <w:sectPr w:rsidR="00911ADA" w:rsidSect="004154BC">
      <w:pgSz w:w="16838" w:h="11906" w:orient="landscape" w:code="9"/>
      <w:pgMar w:top="1134" w:right="170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3341D" w14:textId="77777777" w:rsidR="006A4331" w:rsidRDefault="006A4331">
      <w:r>
        <w:separator/>
      </w:r>
    </w:p>
    <w:p w14:paraId="6F730F2E" w14:textId="77777777" w:rsidR="006A4331" w:rsidRDefault="006A4331"/>
    <w:p w14:paraId="2C1A3EF7" w14:textId="77777777" w:rsidR="006A4331" w:rsidRDefault="006A4331"/>
    <w:p w14:paraId="05EE48E6" w14:textId="77777777" w:rsidR="006A4331" w:rsidRDefault="006A4331"/>
  </w:endnote>
  <w:endnote w:type="continuationSeparator" w:id="0">
    <w:p w14:paraId="4786436E" w14:textId="77777777" w:rsidR="006A4331" w:rsidRDefault="006A4331">
      <w:r>
        <w:continuationSeparator/>
      </w:r>
    </w:p>
    <w:p w14:paraId="04D5B545" w14:textId="77777777" w:rsidR="006A4331" w:rsidRDefault="006A4331"/>
    <w:p w14:paraId="1597D789" w14:textId="77777777" w:rsidR="006A4331" w:rsidRDefault="006A4331"/>
    <w:p w14:paraId="7D345079" w14:textId="77777777" w:rsidR="006A4331" w:rsidRDefault="006A43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6" w:space="0" w:color="009490"/>
      </w:tblBorders>
      <w:tblLayout w:type="fixed"/>
      <w:tblLook w:val="0000" w:firstRow="0" w:lastRow="0" w:firstColumn="0" w:lastColumn="0" w:noHBand="0" w:noVBand="0"/>
    </w:tblPr>
    <w:tblGrid>
      <w:gridCol w:w="851"/>
      <w:gridCol w:w="6529"/>
      <w:gridCol w:w="2340"/>
    </w:tblGrid>
    <w:tr w:rsidR="006A4331" w14:paraId="2B10A785" w14:textId="77777777">
      <w:trPr>
        <w:cantSplit/>
      </w:trPr>
      <w:tc>
        <w:tcPr>
          <w:tcW w:w="851" w:type="dxa"/>
        </w:tcPr>
        <w:p w14:paraId="5A3DD8A0" w14:textId="77777777" w:rsidR="006A4331" w:rsidRDefault="006A4331">
          <w:pPr>
            <w:spacing w:before="60"/>
            <w:rPr>
              <w:b/>
              <w:color w:val="808080"/>
            </w:rPr>
          </w:pPr>
          <w:r>
            <w:rPr>
              <w:color w:val="808080"/>
            </w:rPr>
            <w:t>Ověřil:</w:t>
          </w:r>
        </w:p>
      </w:tc>
      <w:tc>
        <w:tcPr>
          <w:tcW w:w="6529" w:type="dxa"/>
        </w:tcPr>
        <w:p w14:paraId="11AC5BED" w14:textId="77777777" w:rsidR="006A4331" w:rsidRPr="00637D5E" w:rsidRDefault="006A4331" w:rsidP="00C71478">
          <w:pPr>
            <w:spacing w:before="60"/>
            <w:jc w:val="center"/>
            <w:rPr>
              <w:rFonts w:cs="Arial"/>
              <w:szCs w:val="20"/>
            </w:rPr>
          </w:pPr>
          <w:r w:rsidRPr="00637D5E">
            <w:rPr>
              <w:rFonts w:cs="Arial"/>
              <w:szCs w:val="20"/>
            </w:rPr>
            <w:t xml:space="preserve">Ing. </w:t>
          </w:r>
          <w:r>
            <w:rPr>
              <w:rFonts w:cs="Arial"/>
              <w:szCs w:val="20"/>
            </w:rPr>
            <w:t>Michaela Freyová</w:t>
          </w:r>
          <w:r w:rsidRPr="00637D5E">
            <w:rPr>
              <w:rFonts w:cs="Arial"/>
              <w:szCs w:val="20"/>
            </w:rPr>
            <w:t>, ředitel</w:t>
          </w:r>
          <w:r>
            <w:rPr>
              <w:rFonts w:cs="Arial"/>
              <w:szCs w:val="20"/>
            </w:rPr>
            <w:t>ka</w:t>
          </w:r>
          <w:r w:rsidRPr="00637D5E">
            <w:rPr>
              <w:rFonts w:cs="Arial"/>
              <w:szCs w:val="20"/>
            </w:rPr>
            <w:t xml:space="preserve"> </w:t>
          </w:r>
          <w:r>
            <w:rPr>
              <w:rFonts w:cs="Arial"/>
              <w:szCs w:val="20"/>
            </w:rPr>
            <w:t>UBEZ</w:t>
          </w:r>
        </w:p>
      </w:tc>
      <w:tc>
        <w:tcPr>
          <w:tcW w:w="2340" w:type="dxa"/>
        </w:tcPr>
        <w:p w14:paraId="1C4F58DC" w14:textId="77777777" w:rsidR="006A4331" w:rsidRDefault="006A4331">
          <w:pPr>
            <w:spacing w:before="60"/>
            <w:rPr>
              <w:bCs w:val="0"/>
              <w:color w:val="808080"/>
            </w:rPr>
          </w:pPr>
        </w:p>
      </w:tc>
    </w:tr>
  </w:tbl>
  <w:p w14:paraId="38F76A9D" w14:textId="77777777" w:rsidR="006A4331" w:rsidRDefault="006A43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604F5" w14:textId="77777777" w:rsidR="006A4331" w:rsidRDefault="006A4331">
      <w:r>
        <w:separator/>
      </w:r>
    </w:p>
    <w:p w14:paraId="74A90776" w14:textId="77777777" w:rsidR="006A4331" w:rsidRDefault="006A4331"/>
    <w:p w14:paraId="13903F9E" w14:textId="77777777" w:rsidR="006A4331" w:rsidRDefault="006A4331"/>
    <w:p w14:paraId="1FE54CB8" w14:textId="77777777" w:rsidR="006A4331" w:rsidRDefault="006A4331"/>
  </w:footnote>
  <w:footnote w:type="continuationSeparator" w:id="0">
    <w:p w14:paraId="7C8806D8" w14:textId="77777777" w:rsidR="006A4331" w:rsidRDefault="006A4331">
      <w:r>
        <w:continuationSeparator/>
      </w:r>
    </w:p>
    <w:p w14:paraId="097B86E8" w14:textId="77777777" w:rsidR="006A4331" w:rsidRDefault="006A4331"/>
    <w:p w14:paraId="62F31E43" w14:textId="77777777" w:rsidR="006A4331" w:rsidRDefault="006A4331"/>
    <w:p w14:paraId="23DCE215" w14:textId="77777777" w:rsidR="006A4331" w:rsidRDefault="006A4331"/>
  </w:footnote>
  <w:footnote w:id="1">
    <w:p w14:paraId="16F60445" w14:textId="77777777" w:rsidR="006A4331" w:rsidRDefault="006A4331" w:rsidP="007D503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ČR - zákon č. 309/2006 Sb. </w:t>
      </w:r>
      <w:r w:rsidRPr="0062723C">
        <w:t>o zajištění dalších podmínek bezpečnosti a ochrany zdraví při práci</w:t>
      </w:r>
    </w:p>
    <w:p w14:paraId="770E8249" w14:textId="77777777" w:rsidR="006A4331" w:rsidRDefault="006A4331" w:rsidP="007D5039">
      <w:pPr>
        <w:pStyle w:val="Textpoznmkypodiarou"/>
        <w:jc w:val="both"/>
      </w:pPr>
      <w:r>
        <w:t xml:space="preserve">SR – zákon </w:t>
      </w:r>
      <w:r w:rsidRPr="0062723C">
        <w:t>č. 138/1992 Zb. o autorizovaných architektoch a autorizovaných stavebných inžinieroch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BEDD5" w14:textId="77777777" w:rsidR="006A4331" w:rsidRDefault="006A4331"/>
  <w:p w14:paraId="378FE317" w14:textId="77777777" w:rsidR="006A4331" w:rsidRDefault="006A4331"/>
  <w:p w14:paraId="2607B39C" w14:textId="77777777" w:rsidR="006A4331" w:rsidRDefault="006A43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060"/>
      <w:gridCol w:w="5040"/>
      <w:gridCol w:w="1440"/>
    </w:tblGrid>
    <w:tr w:rsidR="006A4331" w14:paraId="50CA05C1" w14:textId="77777777" w:rsidTr="00957952">
      <w:trPr>
        <w:cantSplit/>
      </w:trPr>
      <w:tc>
        <w:tcPr>
          <w:tcW w:w="3060" w:type="dxa"/>
        </w:tcPr>
        <w:p w14:paraId="7020AFDF" w14:textId="7463E062" w:rsidR="006A4331" w:rsidRDefault="006A4331" w:rsidP="00011BAB">
          <w:pPr>
            <w:spacing w:before="40" w:after="60"/>
            <w:rPr>
              <w:b/>
              <w:bCs w:val="0"/>
              <w:i/>
              <w:color w:val="808080"/>
              <w:sz w:val="24"/>
            </w:rPr>
          </w:pPr>
          <w:r>
            <w:rPr>
              <w:b/>
              <w:bCs w:val="0"/>
              <w:color w:val="808080"/>
            </w:rPr>
            <w:t>Skupina ORLEN Unipetrol</w:t>
          </w:r>
        </w:p>
      </w:tc>
      <w:tc>
        <w:tcPr>
          <w:tcW w:w="5040" w:type="dxa"/>
        </w:tcPr>
        <w:p w14:paraId="3107F167" w14:textId="77777777" w:rsidR="006A4331" w:rsidRDefault="006A4331">
          <w:pPr>
            <w:spacing w:before="40" w:after="60"/>
            <w:rPr>
              <w:color w:val="808080"/>
            </w:rPr>
          </w:pPr>
        </w:p>
      </w:tc>
      <w:tc>
        <w:tcPr>
          <w:tcW w:w="1440" w:type="dxa"/>
        </w:tcPr>
        <w:p w14:paraId="18C4CBC5" w14:textId="2888959D" w:rsidR="006A4331" w:rsidRDefault="006A4331">
          <w:pPr>
            <w:spacing w:before="40" w:after="60"/>
            <w:rPr>
              <w:color w:val="808080"/>
            </w:rPr>
          </w:pPr>
          <w:r>
            <w:rPr>
              <w:color w:val="808080"/>
            </w:rPr>
            <w:t xml:space="preserve">Strana 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>PAGE</w:instrText>
          </w:r>
          <w:r>
            <w:rPr>
              <w:color w:val="808080"/>
            </w:rPr>
            <w:fldChar w:fldCharType="separate"/>
          </w:r>
          <w:r w:rsidR="00BB40B6">
            <w:rPr>
              <w:noProof/>
              <w:color w:val="808080"/>
            </w:rPr>
            <w:t>1</w:t>
          </w:r>
          <w:r>
            <w:rPr>
              <w:color w:val="808080"/>
            </w:rPr>
            <w:fldChar w:fldCharType="end"/>
          </w:r>
          <w:r>
            <w:rPr>
              <w:color w:val="808080"/>
            </w:rPr>
            <w:t>/</w:t>
          </w:r>
          <w:r>
            <w:rPr>
              <w:color w:val="808080"/>
            </w:rPr>
            <w:fldChar w:fldCharType="begin"/>
          </w:r>
          <w:r>
            <w:rPr>
              <w:color w:val="808080"/>
            </w:rPr>
            <w:instrText>NUMPAGES</w:instrText>
          </w:r>
          <w:r>
            <w:rPr>
              <w:color w:val="808080"/>
            </w:rPr>
            <w:fldChar w:fldCharType="separate"/>
          </w:r>
          <w:r w:rsidR="00BB40B6">
            <w:rPr>
              <w:noProof/>
              <w:color w:val="808080"/>
            </w:rPr>
            <w:t>24</w:t>
          </w:r>
          <w:r>
            <w:rPr>
              <w:color w:val="808080"/>
            </w:rPr>
            <w:fldChar w:fldCharType="end"/>
          </w:r>
        </w:p>
      </w:tc>
    </w:tr>
    <w:tr w:rsidR="006A4331" w14:paraId="23DE3148" w14:textId="77777777" w:rsidTr="00957952">
      <w:trPr>
        <w:cantSplit/>
      </w:trPr>
      <w:tc>
        <w:tcPr>
          <w:tcW w:w="3060" w:type="dxa"/>
        </w:tcPr>
        <w:p w14:paraId="714B9800" w14:textId="77777777" w:rsidR="006A4331" w:rsidRDefault="006A4331">
          <w:pPr>
            <w:tabs>
              <w:tab w:val="left" w:pos="2007"/>
            </w:tabs>
            <w:spacing w:before="40" w:after="60"/>
            <w:rPr>
              <w:iCs/>
              <w:color w:val="808080"/>
            </w:rPr>
          </w:pPr>
          <w:r>
            <w:rPr>
              <w:iCs/>
              <w:color w:val="808080"/>
            </w:rPr>
            <w:t>Směrnice 465/1</w:t>
          </w:r>
        </w:p>
      </w:tc>
      <w:tc>
        <w:tcPr>
          <w:tcW w:w="5040" w:type="dxa"/>
        </w:tcPr>
        <w:p w14:paraId="7C131E80" w14:textId="77777777" w:rsidR="006A4331" w:rsidRDefault="006A4331">
          <w:pPr>
            <w:spacing w:before="40" w:after="60"/>
            <w:rPr>
              <w:i/>
              <w:color w:val="808080"/>
            </w:rPr>
          </w:pPr>
        </w:p>
      </w:tc>
      <w:tc>
        <w:tcPr>
          <w:tcW w:w="1440" w:type="dxa"/>
        </w:tcPr>
        <w:p w14:paraId="048600ED" w14:textId="4EFC43C9" w:rsidR="006A4331" w:rsidRDefault="006A4331" w:rsidP="00011BAB">
          <w:pPr>
            <w:spacing w:before="40" w:after="60"/>
            <w:rPr>
              <w:color w:val="808080"/>
            </w:rPr>
          </w:pPr>
          <w:r>
            <w:rPr>
              <w:color w:val="808080"/>
            </w:rPr>
            <w:t>Vydání 1</w:t>
          </w:r>
        </w:p>
      </w:tc>
    </w:tr>
    <w:tr w:rsidR="006A4331" w14:paraId="420DD870" w14:textId="77777777" w:rsidTr="00957952">
      <w:trPr>
        <w:cantSplit/>
      </w:trPr>
      <w:tc>
        <w:tcPr>
          <w:tcW w:w="8100" w:type="dxa"/>
          <w:gridSpan w:val="2"/>
          <w:tcBorders>
            <w:bottom w:val="single" w:sz="6" w:space="0" w:color="009490"/>
          </w:tcBorders>
        </w:tcPr>
        <w:p w14:paraId="1E155EF1" w14:textId="77777777" w:rsidR="006A4331" w:rsidRDefault="006A4331">
          <w:pPr>
            <w:spacing w:before="40" w:after="60"/>
            <w:rPr>
              <w:iCs/>
              <w:color w:val="808080"/>
            </w:rPr>
          </w:pPr>
          <w:r>
            <w:rPr>
              <w:iCs/>
              <w:color w:val="808080"/>
            </w:rPr>
            <w:t xml:space="preserve">Povolování prací </w:t>
          </w:r>
        </w:p>
      </w:tc>
      <w:tc>
        <w:tcPr>
          <w:tcW w:w="1440" w:type="dxa"/>
          <w:tcBorders>
            <w:bottom w:val="single" w:sz="6" w:space="0" w:color="009490"/>
          </w:tcBorders>
        </w:tcPr>
        <w:p w14:paraId="34E7F77A" w14:textId="77777777" w:rsidR="006A4331" w:rsidRDefault="006A4331" w:rsidP="0086425F">
          <w:pPr>
            <w:spacing w:before="40" w:after="60"/>
            <w:rPr>
              <w:color w:val="808080"/>
            </w:rPr>
          </w:pPr>
          <w:r>
            <w:rPr>
              <w:color w:val="808080"/>
            </w:rPr>
            <w:t>Změna 0</w:t>
          </w:r>
        </w:p>
      </w:tc>
    </w:tr>
  </w:tbl>
  <w:p w14:paraId="283527B7" w14:textId="77777777" w:rsidR="006A4331" w:rsidRDefault="006A43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1B764" w14:textId="7027B71A" w:rsidR="007D5039" w:rsidRDefault="007D5039" w:rsidP="007D5039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EA85F86" wp14:editId="5C6573EA">
          <wp:extent cx="3602743" cy="1155194"/>
          <wp:effectExtent l="0" t="0" r="0" b="0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orl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743" cy="11551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Číslování 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624" w:hanging="369"/>
      </w:pPr>
    </w:lvl>
    <w:lvl w:ilvl="2">
      <w:start w:val="3"/>
      <w:numFmt w:val="lowerLetter"/>
      <w:suff w:val="space"/>
      <w:lvlText w:val="%3)"/>
      <w:lvlJc w:val="left"/>
      <w:pPr>
        <w:tabs>
          <w:tab w:val="num" w:pos="0"/>
        </w:tabs>
        <w:ind w:left="879" w:hanging="255"/>
      </w:pPr>
    </w:lvl>
    <w:lvl w:ilvl="3">
      <w:start w:val="4"/>
      <w:numFmt w:val="bullet"/>
      <w:suff w:val="space"/>
      <w:lvlText w:val=""/>
      <w:lvlJc w:val="left"/>
      <w:pPr>
        <w:tabs>
          <w:tab w:val="num" w:pos="0"/>
        </w:tabs>
        <w:ind w:left="1134" w:hanging="224"/>
      </w:pPr>
      <w:rPr>
        <w:rFonts w:ascii="Symbol" w:hAnsi="Symbol"/>
      </w:rPr>
    </w:lvl>
    <w:lvl w:ilvl="4">
      <w:start w:val="5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/>
      </w:rPr>
    </w:lvl>
    <w:lvl w:ilvl="5">
      <w:start w:val="6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/>
      </w:rPr>
    </w:lvl>
    <w:lvl w:ilvl="6">
      <w:start w:val="7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/>
      </w:rPr>
    </w:lvl>
    <w:lvl w:ilvl="7">
      <w:start w:val="8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/>
      </w:rPr>
    </w:lvl>
    <w:lvl w:ilvl="8">
      <w:start w:val="9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/>
      </w:rPr>
    </w:lvl>
  </w:abstractNum>
  <w:abstractNum w:abstractNumId="1" w15:restartNumberingAfterBreak="0">
    <w:nsid w:val="003D622D"/>
    <w:multiLevelType w:val="hybridMultilevel"/>
    <w:tmpl w:val="3BE29B58"/>
    <w:lvl w:ilvl="0" w:tplc="0405000F">
      <w:start w:val="1"/>
      <w:numFmt w:val="decimal"/>
      <w:lvlText w:val="%1."/>
      <w:lvlJc w:val="left"/>
      <w:pPr>
        <w:tabs>
          <w:tab w:val="num" w:pos="1979"/>
        </w:tabs>
        <w:ind w:left="197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699"/>
        </w:tabs>
        <w:ind w:left="269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19"/>
        </w:tabs>
        <w:ind w:left="341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39"/>
        </w:tabs>
        <w:ind w:left="413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59"/>
        </w:tabs>
        <w:ind w:left="485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79"/>
        </w:tabs>
        <w:ind w:left="557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299"/>
        </w:tabs>
        <w:ind w:left="629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19"/>
        </w:tabs>
        <w:ind w:left="701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39"/>
        </w:tabs>
        <w:ind w:left="7739" w:hanging="180"/>
      </w:pPr>
    </w:lvl>
  </w:abstractNum>
  <w:abstractNum w:abstractNumId="2" w15:restartNumberingAfterBreak="0">
    <w:nsid w:val="039343D3"/>
    <w:multiLevelType w:val="hybridMultilevel"/>
    <w:tmpl w:val="5238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0546"/>
    <w:multiLevelType w:val="hybridMultilevel"/>
    <w:tmpl w:val="ECEE05D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F5E96"/>
    <w:multiLevelType w:val="hybridMultilevel"/>
    <w:tmpl w:val="DAEE9CE4"/>
    <w:lvl w:ilvl="0" w:tplc="BB3A171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A5FAF"/>
    <w:multiLevelType w:val="hybridMultilevel"/>
    <w:tmpl w:val="54B62A00"/>
    <w:lvl w:ilvl="0" w:tplc="C0F27B5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214B1"/>
    <w:multiLevelType w:val="hybridMultilevel"/>
    <w:tmpl w:val="E3DAB8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C0D4F"/>
    <w:multiLevelType w:val="hybridMultilevel"/>
    <w:tmpl w:val="0F1AD25A"/>
    <w:lvl w:ilvl="0" w:tplc="FFFFFFFF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</w:lvl>
    <w:lvl w:ilvl="1" w:tplc="3EA4AE2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16AC2AA">
      <w:start w:val="2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D2C4E10"/>
    <w:multiLevelType w:val="hybridMultilevel"/>
    <w:tmpl w:val="BD7E40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357FAD"/>
    <w:multiLevelType w:val="hybridMultilevel"/>
    <w:tmpl w:val="E3CCA5B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25DE7431"/>
    <w:multiLevelType w:val="hybridMultilevel"/>
    <w:tmpl w:val="9D3CA35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40306"/>
    <w:multiLevelType w:val="hybridMultilevel"/>
    <w:tmpl w:val="32F8C9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F204C"/>
    <w:multiLevelType w:val="hybridMultilevel"/>
    <w:tmpl w:val="9474BE82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A5779E"/>
    <w:multiLevelType w:val="multilevel"/>
    <w:tmpl w:val="917CEA28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292F2616"/>
    <w:multiLevelType w:val="hybridMultilevel"/>
    <w:tmpl w:val="81589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82FC9"/>
    <w:multiLevelType w:val="hybridMultilevel"/>
    <w:tmpl w:val="E3A4A2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591F17"/>
    <w:multiLevelType w:val="hybridMultilevel"/>
    <w:tmpl w:val="B99E8F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4B5E"/>
    <w:multiLevelType w:val="hybridMultilevel"/>
    <w:tmpl w:val="F5FA1BF2"/>
    <w:lvl w:ilvl="0" w:tplc="04050017">
      <w:start w:val="1"/>
      <w:numFmt w:val="lowerLetter"/>
      <w:lvlText w:val="%1)"/>
      <w:lvlJc w:val="left"/>
      <w:pPr>
        <w:tabs>
          <w:tab w:val="num" w:pos="1609"/>
        </w:tabs>
        <w:ind w:left="1609" w:hanging="360"/>
      </w:pPr>
      <w:rPr>
        <w:rFonts w:hint="default"/>
      </w:rPr>
    </w:lvl>
    <w:lvl w:ilvl="1" w:tplc="97228C58">
      <w:start w:val="1"/>
      <w:numFmt w:val="decimal"/>
      <w:lvlText w:val="%2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2" w:tplc="0405001B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18" w15:restartNumberingAfterBreak="0">
    <w:nsid w:val="32273900"/>
    <w:multiLevelType w:val="hybridMultilevel"/>
    <w:tmpl w:val="502AB1DE"/>
    <w:lvl w:ilvl="0" w:tplc="04050017">
      <w:start w:val="1"/>
      <w:numFmt w:val="lowerLetter"/>
      <w:lvlText w:val="%1)"/>
      <w:lvlJc w:val="left"/>
      <w:pPr>
        <w:tabs>
          <w:tab w:val="num" w:pos="1572"/>
        </w:tabs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0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9" w15:restartNumberingAfterBreak="0">
    <w:nsid w:val="336C6195"/>
    <w:multiLevelType w:val="hybridMultilevel"/>
    <w:tmpl w:val="9688879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5652D37"/>
    <w:multiLevelType w:val="hybridMultilevel"/>
    <w:tmpl w:val="1D1CFDA4"/>
    <w:lvl w:ilvl="0" w:tplc="E506C9C4">
      <w:start w:val="1"/>
      <w:numFmt w:val="decimal"/>
      <w:lvlText w:val="Kolonka 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D71AD"/>
    <w:multiLevelType w:val="multilevel"/>
    <w:tmpl w:val="8EACC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200066"/>
    <w:multiLevelType w:val="hybridMultilevel"/>
    <w:tmpl w:val="15001472"/>
    <w:lvl w:ilvl="0" w:tplc="BB3A171C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34FC3"/>
    <w:multiLevelType w:val="multilevel"/>
    <w:tmpl w:val="97925148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4679"/>
        </w:tabs>
        <w:ind w:left="5303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426"/>
        </w:tabs>
        <w:ind w:left="1220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24" w15:restartNumberingAfterBreak="0">
    <w:nsid w:val="40AB0F23"/>
    <w:multiLevelType w:val="multilevel"/>
    <w:tmpl w:val="E5DCBBBE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2126B05"/>
    <w:multiLevelType w:val="hybridMultilevel"/>
    <w:tmpl w:val="E05CCA48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76C48C6"/>
    <w:multiLevelType w:val="multilevel"/>
    <w:tmpl w:val="5AB8D08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48D83D0D"/>
    <w:multiLevelType w:val="hybridMultilevel"/>
    <w:tmpl w:val="B730578C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497D16CD"/>
    <w:multiLevelType w:val="hybridMultilevel"/>
    <w:tmpl w:val="CDB4F0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6F503B"/>
    <w:multiLevelType w:val="hybridMultilevel"/>
    <w:tmpl w:val="7FBCE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964905"/>
    <w:multiLevelType w:val="hybridMultilevel"/>
    <w:tmpl w:val="2E2A4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1316D"/>
    <w:multiLevelType w:val="hybridMultilevel"/>
    <w:tmpl w:val="C1CEA8F0"/>
    <w:lvl w:ilvl="0" w:tplc="0405000B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2C4C72"/>
    <w:multiLevelType w:val="hybridMultilevel"/>
    <w:tmpl w:val="1130D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16039"/>
    <w:multiLevelType w:val="hybridMultilevel"/>
    <w:tmpl w:val="92AC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423F29"/>
    <w:multiLevelType w:val="multilevel"/>
    <w:tmpl w:val="78FE1060"/>
    <w:lvl w:ilvl="0">
      <w:start w:val="1"/>
      <w:numFmt w:val="decimal"/>
      <w:pStyle w:val="pracovnipostup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1334" w:hanging="794"/>
      </w:pPr>
      <w:rPr>
        <w:rFonts w:hint="default"/>
      </w:rPr>
    </w:lvl>
    <w:lvl w:ilvl="4">
      <w:start w:val="1"/>
      <w:numFmt w:val="decimal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35" w15:restartNumberingAfterBreak="0">
    <w:nsid w:val="5BF81364"/>
    <w:multiLevelType w:val="hybridMultilevel"/>
    <w:tmpl w:val="48B0DC0C"/>
    <w:lvl w:ilvl="0" w:tplc="C0F27B5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A375E1"/>
    <w:multiLevelType w:val="hybridMultilevel"/>
    <w:tmpl w:val="48B0DC0C"/>
    <w:lvl w:ilvl="0" w:tplc="C0F27B5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C054E0"/>
    <w:multiLevelType w:val="multilevel"/>
    <w:tmpl w:val="9BE2B5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5DED04A0"/>
    <w:multiLevelType w:val="hybridMultilevel"/>
    <w:tmpl w:val="5E5E9A4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382BE1"/>
    <w:multiLevelType w:val="multilevel"/>
    <w:tmpl w:val="49580782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80E2378"/>
    <w:multiLevelType w:val="hybridMultilevel"/>
    <w:tmpl w:val="D828FED8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CC62F38"/>
    <w:multiLevelType w:val="hybridMultilevel"/>
    <w:tmpl w:val="4F5AC65A"/>
    <w:lvl w:ilvl="0" w:tplc="8042FE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1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08203C"/>
    <w:multiLevelType w:val="hybridMultilevel"/>
    <w:tmpl w:val="48B0DC0C"/>
    <w:lvl w:ilvl="0" w:tplc="C0F27B5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102D6"/>
    <w:multiLevelType w:val="hybridMultilevel"/>
    <w:tmpl w:val="0A5CA9D6"/>
    <w:lvl w:ilvl="0" w:tplc="040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63E7E46"/>
    <w:multiLevelType w:val="hybridMultilevel"/>
    <w:tmpl w:val="51603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34E66"/>
    <w:multiLevelType w:val="hybridMultilevel"/>
    <w:tmpl w:val="ACA01C0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BA6662E"/>
    <w:multiLevelType w:val="hybridMultilevel"/>
    <w:tmpl w:val="6B0C3EF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B2BF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8C441F"/>
    <w:multiLevelType w:val="hybridMultilevel"/>
    <w:tmpl w:val="142E9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5D1470"/>
    <w:multiLevelType w:val="hybridMultilevel"/>
    <w:tmpl w:val="66D43A12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F425199"/>
    <w:multiLevelType w:val="hybridMultilevel"/>
    <w:tmpl w:val="A9A83F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09058">
    <w:abstractNumId w:val="23"/>
  </w:num>
  <w:num w:numId="2" w16cid:durableId="1319723686">
    <w:abstractNumId w:val="6"/>
  </w:num>
  <w:num w:numId="3" w16cid:durableId="668560557">
    <w:abstractNumId w:val="10"/>
  </w:num>
  <w:num w:numId="4" w16cid:durableId="45034082">
    <w:abstractNumId w:val="16"/>
  </w:num>
  <w:num w:numId="5" w16cid:durableId="1538393819">
    <w:abstractNumId w:val="3"/>
  </w:num>
  <w:num w:numId="6" w16cid:durableId="1971015446">
    <w:abstractNumId w:val="15"/>
  </w:num>
  <w:num w:numId="7" w16cid:durableId="966199128">
    <w:abstractNumId w:val="28"/>
  </w:num>
  <w:num w:numId="8" w16cid:durableId="808981822">
    <w:abstractNumId w:val="41"/>
  </w:num>
  <w:num w:numId="9" w16cid:durableId="1632901927">
    <w:abstractNumId w:val="8"/>
  </w:num>
  <w:num w:numId="10" w16cid:durableId="1101074019">
    <w:abstractNumId w:val="38"/>
  </w:num>
  <w:num w:numId="11" w16cid:durableId="922183780">
    <w:abstractNumId w:val="31"/>
  </w:num>
  <w:num w:numId="12" w16cid:durableId="693455993">
    <w:abstractNumId w:val="46"/>
  </w:num>
  <w:num w:numId="13" w16cid:durableId="128978559">
    <w:abstractNumId w:val="7"/>
  </w:num>
  <w:num w:numId="14" w16cid:durableId="1459030990">
    <w:abstractNumId w:val="9"/>
  </w:num>
  <w:num w:numId="15" w16cid:durableId="866482409">
    <w:abstractNumId w:val="27"/>
  </w:num>
  <w:num w:numId="16" w16cid:durableId="1947468416">
    <w:abstractNumId w:val="18"/>
  </w:num>
  <w:num w:numId="17" w16cid:durableId="96340501">
    <w:abstractNumId w:val="17"/>
  </w:num>
  <w:num w:numId="18" w16cid:durableId="1549218458">
    <w:abstractNumId w:val="34"/>
  </w:num>
  <w:num w:numId="19" w16cid:durableId="659389597">
    <w:abstractNumId w:val="43"/>
  </w:num>
  <w:num w:numId="20" w16cid:durableId="1506020695">
    <w:abstractNumId w:val="1"/>
  </w:num>
  <w:num w:numId="21" w16cid:durableId="2008168281">
    <w:abstractNumId w:val="22"/>
  </w:num>
  <w:num w:numId="22" w16cid:durableId="892423472">
    <w:abstractNumId w:val="23"/>
  </w:num>
  <w:num w:numId="23" w16cid:durableId="465197911">
    <w:abstractNumId w:val="23"/>
  </w:num>
  <w:num w:numId="24" w16cid:durableId="1655796027">
    <w:abstractNumId w:val="23"/>
  </w:num>
  <w:num w:numId="25" w16cid:durableId="50737353">
    <w:abstractNumId w:val="23"/>
  </w:num>
  <w:num w:numId="26" w16cid:durableId="244923807">
    <w:abstractNumId w:val="23"/>
  </w:num>
  <w:num w:numId="27" w16cid:durableId="1116409311">
    <w:abstractNumId w:val="11"/>
  </w:num>
  <w:num w:numId="28" w16cid:durableId="1257977425">
    <w:abstractNumId w:val="4"/>
  </w:num>
  <w:num w:numId="29" w16cid:durableId="14769361">
    <w:abstractNumId w:val="20"/>
  </w:num>
  <w:num w:numId="30" w16cid:durableId="2061050688">
    <w:abstractNumId w:val="21"/>
  </w:num>
  <w:num w:numId="31" w16cid:durableId="274945463">
    <w:abstractNumId w:val="23"/>
  </w:num>
  <w:num w:numId="32" w16cid:durableId="784498281">
    <w:abstractNumId w:val="26"/>
  </w:num>
  <w:num w:numId="33" w16cid:durableId="1572233131">
    <w:abstractNumId w:val="39"/>
  </w:num>
  <w:num w:numId="34" w16cid:durableId="1762023552">
    <w:abstractNumId w:val="32"/>
  </w:num>
  <w:num w:numId="35" w16cid:durableId="1793136447">
    <w:abstractNumId w:val="49"/>
  </w:num>
  <w:num w:numId="36" w16cid:durableId="1647468591">
    <w:abstractNumId w:val="24"/>
  </w:num>
  <w:num w:numId="37" w16cid:durableId="1190413931">
    <w:abstractNumId w:val="13"/>
  </w:num>
  <w:num w:numId="38" w16cid:durableId="1243873414">
    <w:abstractNumId w:val="5"/>
  </w:num>
  <w:num w:numId="39" w16cid:durableId="1918243932">
    <w:abstractNumId w:val="33"/>
  </w:num>
  <w:num w:numId="40" w16cid:durableId="1475565651">
    <w:abstractNumId w:val="36"/>
  </w:num>
  <w:num w:numId="41" w16cid:durableId="1862664492">
    <w:abstractNumId w:val="30"/>
  </w:num>
  <w:num w:numId="42" w16cid:durableId="273291988">
    <w:abstractNumId w:val="23"/>
  </w:num>
  <w:num w:numId="43" w16cid:durableId="811167998">
    <w:abstractNumId w:val="23"/>
  </w:num>
  <w:num w:numId="44" w16cid:durableId="639192044">
    <w:abstractNumId w:val="23"/>
  </w:num>
  <w:num w:numId="45" w16cid:durableId="1311404204">
    <w:abstractNumId w:val="23"/>
  </w:num>
  <w:num w:numId="46" w16cid:durableId="1513956276">
    <w:abstractNumId w:val="23"/>
  </w:num>
  <w:num w:numId="47" w16cid:durableId="269701383">
    <w:abstractNumId w:val="47"/>
  </w:num>
  <w:num w:numId="48" w16cid:durableId="1241794351">
    <w:abstractNumId w:val="42"/>
  </w:num>
  <w:num w:numId="49" w16cid:durableId="536699644">
    <w:abstractNumId w:val="35"/>
  </w:num>
  <w:num w:numId="50" w16cid:durableId="16945761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8403832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74544831">
    <w:abstractNumId w:val="33"/>
  </w:num>
  <w:num w:numId="53" w16cid:durableId="416098618">
    <w:abstractNumId w:val="23"/>
  </w:num>
  <w:num w:numId="54" w16cid:durableId="336856410">
    <w:abstractNumId w:val="23"/>
  </w:num>
  <w:num w:numId="55" w16cid:durableId="81685970">
    <w:abstractNumId w:val="14"/>
  </w:num>
  <w:num w:numId="56" w16cid:durableId="466171393">
    <w:abstractNumId w:val="2"/>
  </w:num>
  <w:num w:numId="57" w16cid:durableId="306251364">
    <w:abstractNumId w:val="19"/>
  </w:num>
  <w:num w:numId="58" w16cid:durableId="738787733">
    <w:abstractNumId w:val="45"/>
  </w:num>
  <w:num w:numId="59" w16cid:durableId="1966152386">
    <w:abstractNumId w:val="44"/>
  </w:num>
  <w:num w:numId="60" w16cid:durableId="1877812410">
    <w:abstractNumId w:val="12"/>
  </w:num>
  <w:num w:numId="61" w16cid:durableId="1733576541">
    <w:abstractNumId w:val="40"/>
  </w:num>
  <w:num w:numId="62" w16cid:durableId="845166345">
    <w:abstractNumId w:val="25"/>
  </w:num>
  <w:num w:numId="63" w16cid:durableId="500391702">
    <w:abstractNumId w:val="48"/>
  </w:num>
  <w:num w:numId="64" w16cid:durableId="1527597143">
    <w:abstractNumId w:val="23"/>
  </w:num>
  <w:num w:numId="65" w16cid:durableId="2012944769">
    <w:abstractNumId w:val="37"/>
  </w:num>
  <w:num w:numId="66" w16cid:durableId="1468351717">
    <w:abstractNumId w:val="2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D5E"/>
    <w:rsid w:val="000010AD"/>
    <w:rsid w:val="00001E95"/>
    <w:rsid w:val="00003CD1"/>
    <w:rsid w:val="000046B1"/>
    <w:rsid w:val="00007BC1"/>
    <w:rsid w:val="00010142"/>
    <w:rsid w:val="00010788"/>
    <w:rsid w:val="00011BAB"/>
    <w:rsid w:val="00012744"/>
    <w:rsid w:val="00015441"/>
    <w:rsid w:val="000164D8"/>
    <w:rsid w:val="00020073"/>
    <w:rsid w:val="00022598"/>
    <w:rsid w:val="00023EB0"/>
    <w:rsid w:val="00024208"/>
    <w:rsid w:val="0002580F"/>
    <w:rsid w:val="000311AD"/>
    <w:rsid w:val="00032436"/>
    <w:rsid w:val="000326E4"/>
    <w:rsid w:val="00032A9A"/>
    <w:rsid w:val="00033443"/>
    <w:rsid w:val="00034975"/>
    <w:rsid w:val="00034E32"/>
    <w:rsid w:val="0003663D"/>
    <w:rsid w:val="00037C0C"/>
    <w:rsid w:val="0004026C"/>
    <w:rsid w:val="000404AB"/>
    <w:rsid w:val="000410DC"/>
    <w:rsid w:val="000444AE"/>
    <w:rsid w:val="00044BA5"/>
    <w:rsid w:val="00045F28"/>
    <w:rsid w:val="00046067"/>
    <w:rsid w:val="00046956"/>
    <w:rsid w:val="00046F5F"/>
    <w:rsid w:val="00047CFD"/>
    <w:rsid w:val="00051294"/>
    <w:rsid w:val="0005245D"/>
    <w:rsid w:val="00053D0B"/>
    <w:rsid w:val="00054052"/>
    <w:rsid w:val="00055824"/>
    <w:rsid w:val="000560D7"/>
    <w:rsid w:val="00056EFA"/>
    <w:rsid w:val="00057B3C"/>
    <w:rsid w:val="00057EBA"/>
    <w:rsid w:val="00062190"/>
    <w:rsid w:val="00063DF9"/>
    <w:rsid w:val="00064620"/>
    <w:rsid w:val="0006582C"/>
    <w:rsid w:val="0006709D"/>
    <w:rsid w:val="000702B3"/>
    <w:rsid w:val="0007166B"/>
    <w:rsid w:val="00073866"/>
    <w:rsid w:val="0008259C"/>
    <w:rsid w:val="00082774"/>
    <w:rsid w:val="000917E0"/>
    <w:rsid w:val="000929BB"/>
    <w:rsid w:val="00092C2D"/>
    <w:rsid w:val="00093FBC"/>
    <w:rsid w:val="000A151C"/>
    <w:rsid w:val="000A21CA"/>
    <w:rsid w:val="000A3286"/>
    <w:rsid w:val="000A39DF"/>
    <w:rsid w:val="000A4E61"/>
    <w:rsid w:val="000A63D9"/>
    <w:rsid w:val="000B11D9"/>
    <w:rsid w:val="000B149C"/>
    <w:rsid w:val="000B181C"/>
    <w:rsid w:val="000B199E"/>
    <w:rsid w:val="000B1F75"/>
    <w:rsid w:val="000B3930"/>
    <w:rsid w:val="000B5E42"/>
    <w:rsid w:val="000B7309"/>
    <w:rsid w:val="000B7BE2"/>
    <w:rsid w:val="000C0030"/>
    <w:rsid w:val="000C0FA5"/>
    <w:rsid w:val="000C2598"/>
    <w:rsid w:val="000C2A70"/>
    <w:rsid w:val="000C3CF8"/>
    <w:rsid w:val="000C4465"/>
    <w:rsid w:val="000C638A"/>
    <w:rsid w:val="000C771D"/>
    <w:rsid w:val="000D0706"/>
    <w:rsid w:val="000D33C8"/>
    <w:rsid w:val="000E2CA3"/>
    <w:rsid w:val="000E349A"/>
    <w:rsid w:val="000E3D32"/>
    <w:rsid w:val="000E4D0E"/>
    <w:rsid w:val="000E57E8"/>
    <w:rsid w:val="000E7D8F"/>
    <w:rsid w:val="000F0DAB"/>
    <w:rsid w:val="000F3C10"/>
    <w:rsid w:val="000F3F9A"/>
    <w:rsid w:val="000F5ECB"/>
    <w:rsid w:val="000F61B2"/>
    <w:rsid w:val="00100FC0"/>
    <w:rsid w:val="00102441"/>
    <w:rsid w:val="001033A2"/>
    <w:rsid w:val="001037A9"/>
    <w:rsid w:val="001076D3"/>
    <w:rsid w:val="00111134"/>
    <w:rsid w:val="00111398"/>
    <w:rsid w:val="00111B9B"/>
    <w:rsid w:val="00112197"/>
    <w:rsid w:val="001159E2"/>
    <w:rsid w:val="00115B30"/>
    <w:rsid w:val="00120963"/>
    <w:rsid w:val="00122A4B"/>
    <w:rsid w:val="001232AC"/>
    <w:rsid w:val="00125DE9"/>
    <w:rsid w:val="00127847"/>
    <w:rsid w:val="001306B3"/>
    <w:rsid w:val="00131203"/>
    <w:rsid w:val="0013186D"/>
    <w:rsid w:val="0013335B"/>
    <w:rsid w:val="00133EFE"/>
    <w:rsid w:val="00135168"/>
    <w:rsid w:val="00135EAC"/>
    <w:rsid w:val="00140C5C"/>
    <w:rsid w:val="00140EDF"/>
    <w:rsid w:val="00140F8A"/>
    <w:rsid w:val="001412AA"/>
    <w:rsid w:val="00141304"/>
    <w:rsid w:val="0014158D"/>
    <w:rsid w:val="00141CA7"/>
    <w:rsid w:val="00151ADF"/>
    <w:rsid w:val="001557DF"/>
    <w:rsid w:val="00157122"/>
    <w:rsid w:val="001571EF"/>
    <w:rsid w:val="001574AD"/>
    <w:rsid w:val="00157A1F"/>
    <w:rsid w:val="0016060B"/>
    <w:rsid w:val="0016122A"/>
    <w:rsid w:val="001620A5"/>
    <w:rsid w:val="00166994"/>
    <w:rsid w:val="00167765"/>
    <w:rsid w:val="00167A47"/>
    <w:rsid w:val="00172840"/>
    <w:rsid w:val="00173BE5"/>
    <w:rsid w:val="0017558F"/>
    <w:rsid w:val="00176679"/>
    <w:rsid w:val="00176754"/>
    <w:rsid w:val="00180FBA"/>
    <w:rsid w:val="001810B7"/>
    <w:rsid w:val="00182543"/>
    <w:rsid w:val="0018271C"/>
    <w:rsid w:val="00182906"/>
    <w:rsid w:val="001934AC"/>
    <w:rsid w:val="0019705B"/>
    <w:rsid w:val="00197E25"/>
    <w:rsid w:val="001A373B"/>
    <w:rsid w:val="001B09E1"/>
    <w:rsid w:val="001B24A7"/>
    <w:rsid w:val="001B3B12"/>
    <w:rsid w:val="001C3234"/>
    <w:rsid w:val="001C3E6F"/>
    <w:rsid w:val="001C4DA8"/>
    <w:rsid w:val="001C522A"/>
    <w:rsid w:val="001C5650"/>
    <w:rsid w:val="001D6AB3"/>
    <w:rsid w:val="001D6E3C"/>
    <w:rsid w:val="001D7578"/>
    <w:rsid w:val="001E120E"/>
    <w:rsid w:val="001E2370"/>
    <w:rsid w:val="001E3232"/>
    <w:rsid w:val="001E3EDE"/>
    <w:rsid w:val="001E615B"/>
    <w:rsid w:val="001E63E0"/>
    <w:rsid w:val="001F2397"/>
    <w:rsid w:val="001F2567"/>
    <w:rsid w:val="001F5306"/>
    <w:rsid w:val="001F75A4"/>
    <w:rsid w:val="001F790B"/>
    <w:rsid w:val="00204862"/>
    <w:rsid w:val="00204F53"/>
    <w:rsid w:val="00212F94"/>
    <w:rsid w:val="002158A1"/>
    <w:rsid w:val="002176CD"/>
    <w:rsid w:val="00220E8A"/>
    <w:rsid w:val="0022269F"/>
    <w:rsid w:val="00223EB9"/>
    <w:rsid w:val="00223F24"/>
    <w:rsid w:val="002254A6"/>
    <w:rsid w:val="0022592D"/>
    <w:rsid w:val="00226927"/>
    <w:rsid w:val="002312DD"/>
    <w:rsid w:val="00231613"/>
    <w:rsid w:val="0023645C"/>
    <w:rsid w:val="002417B0"/>
    <w:rsid w:val="00241AAC"/>
    <w:rsid w:val="00241AE1"/>
    <w:rsid w:val="0024275B"/>
    <w:rsid w:val="00243137"/>
    <w:rsid w:val="002467EC"/>
    <w:rsid w:val="00250EC9"/>
    <w:rsid w:val="00254073"/>
    <w:rsid w:val="002566ED"/>
    <w:rsid w:val="00256A7A"/>
    <w:rsid w:val="002579BB"/>
    <w:rsid w:val="00257A10"/>
    <w:rsid w:val="00263433"/>
    <w:rsid w:val="002656AC"/>
    <w:rsid w:val="002677B9"/>
    <w:rsid w:val="00274186"/>
    <w:rsid w:val="00277E31"/>
    <w:rsid w:val="00277EF7"/>
    <w:rsid w:val="0028415C"/>
    <w:rsid w:val="00284AEA"/>
    <w:rsid w:val="00291ECD"/>
    <w:rsid w:val="00292521"/>
    <w:rsid w:val="00292BCC"/>
    <w:rsid w:val="002971F3"/>
    <w:rsid w:val="002A01BD"/>
    <w:rsid w:val="002A1406"/>
    <w:rsid w:val="002A331B"/>
    <w:rsid w:val="002A3FAC"/>
    <w:rsid w:val="002A4B28"/>
    <w:rsid w:val="002A63CA"/>
    <w:rsid w:val="002B041A"/>
    <w:rsid w:val="002B1702"/>
    <w:rsid w:val="002B1ADD"/>
    <w:rsid w:val="002B29F9"/>
    <w:rsid w:val="002C3A16"/>
    <w:rsid w:val="002C4739"/>
    <w:rsid w:val="002C5E2C"/>
    <w:rsid w:val="002C60D1"/>
    <w:rsid w:val="002C6F6E"/>
    <w:rsid w:val="002D17C8"/>
    <w:rsid w:val="002D376A"/>
    <w:rsid w:val="002D4FEB"/>
    <w:rsid w:val="002D664E"/>
    <w:rsid w:val="002E1D59"/>
    <w:rsid w:val="002E41A2"/>
    <w:rsid w:val="002E6867"/>
    <w:rsid w:val="00300E7E"/>
    <w:rsid w:val="0030196D"/>
    <w:rsid w:val="00302F0F"/>
    <w:rsid w:val="00304255"/>
    <w:rsid w:val="00304B97"/>
    <w:rsid w:val="00310A37"/>
    <w:rsid w:val="00310E9D"/>
    <w:rsid w:val="00313385"/>
    <w:rsid w:val="0031389A"/>
    <w:rsid w:val="003156F8"/>
    <w:rsid w:val="003177D4"/>
    <w:rsid w:val="00320DF1"/>
    <w:rsid w:val="00325BC8"/>
    <w:rsid w:val="003314CA"/>
    <w:rsid w:val="00331CCC"/>
    <w:rsid w:val="00332B2A"/>
    <w:rsid w:val="0033486B"/>
    <w:rsid w:val="00335107"/>
    <w:rsid w:val="00336641"/>
    <w:rsid w:val="003372A9"/>
    <w:rsid w:val="00337936"/>
    <w:rsid w:val="0034469B"/>
    <w:rsid w:val="00345492"/>
    <w:rsid w:val="003464B2"/>
    <w:rsid w:val="00351FAB"/>
    <w:rsid w:val="00352186"/>
    <w:rsid w:val="00352F41"/>
    <w:rsid w:val="00353092"/>
    <w:rsid w:val="003545DE"/>
    <w:rsid w:val="0036525C"/>
    <w:rsid w:val="003675E0"/>
    <w:rsid w:val="00367889"/>
    <w:rsid w:val="00370E73"/>
    <w:rsid w:val="00371694"/>
    <w:rsid w:val="00371737"/>
    <w:rsid w:val="00372C08"/>
    <w:rsid w:val="003737F7"/>
    <w:rsid w:val="0037705A"/>
    <w:rsid w:val="003771DD"/>
    <w:rsid w:val="0037797D"/>
    <w:rsid w:val="00377EA8"/>
    <w:rsid w:val="003800CE"/>
    <w:rsid w:val="00384B38"/>
    <w:rsid w:val="00384E6B"/>
    <w:rsid w:val="00384F91"/>
    <w:rsid w:val="00386A9A"/>
    <w:rsid w:val="00387993"/>
    <w:rsid w:val="00390BA4"/>
    <w:rsid w:val="00393FF0"/>
    <w:rsid w:val="00394D91"/>
    <w:rsid w:val="00395069"/>
    <w:rsid w:val="003953AE"/>
    <w:rsid w:val="00395528"/>
    <w:rsid w:val="00395CF7"/>
    <w:rsid w:val="00396D27"/>
    <w:rsid w:val="003979B9"/>
    <w:rsid w:val="00397B05"/>
    <w:rsid w:val="003A0DBB"/>
    <w:rsid w:val="003A0E76"/>
    <w:rsid w:val="003A1779"/>
    <w:rsid w:val="003A1972"/>
    <w:rsid w:val="003A1F32"/>
    <w:rsid w:val="003A5F71"/>
    <w:rsid w:val="003A7714"/>
    <w:rsid w:val="003B04C6"/>
    <w:rsid w:val="003B0A15"/>
    <w:rsid w:val="003B4CFC"/>
    <w:rsid w:val="003B6ADF"/>
    <w:rsid w:val="003B7440"/>
    <w:rsid w:val="003C138C"/>
    <w:rsid w:val="003C1C1F"/>
    <w:rsid w:val="003C3331"/>
    <w:rsid w:val="003C51BA"/>
    <w:rsid w:val="003D047C"/>
    <w:rsid w:val="003D093C"/>
    <w:rsid w:val="003D171A"/>
    <w:rsid w:val="003D1CD2"/>
    <w:rsid w:val="003D1DDC"/>
    <w:rsid w:val="003D2C81"/>
    <w:rsid w:val="003D4714"/>
    <w:rsid w:val="003D4AC9"/>
    <w:rsid w:val="003D7F3B"/>
    <w:rsid w:val="003E33D1"/>
    <w:rsid w:val="003E6547"/>
    <w:rsid w:val="003E6A9F"/>
    <w:rsid w:val="003F139C"/>
    <w:rsid w:val="003F3FBF"/>
    <w:rsid w:val="003F56CD"/>
    <w:rsid w:val="00400F92"/>
    <w:rsid w:val="00401932"/>
    <w:rsid w:val="004043E8"/>
    <w:rsid w:val="004062AB"/>
    <w:rsid w:val="00406784"/>
    <w:rsid w:val="00406DBC"/>
    <w:rsid w:val="00407621"/>
    <w:rsid w:val="00407882"/>
    <w:rsid w:val="00410EEB"/>
    <w:rsid w:val="00411159"/>
    <w:rsid w:val="0041120D"/>
    <w:rsid w:val="004154BC"/>
    <w:rsid w:val="00417609"/>
    <w:rsid w:val="00424F2E"/>
    <w:rsid w:val="00426F3E"/>
    <w:rsid w:val="0043175C"/>
    <w:rsid w:val="00431F0E"/>
    <w:rsid w:val="00432232"/>
    <w:rsid w:val="0043368B"/>
    <w:rsid w:val="00436644"/>
    <w:rsid w:val="00437089"/>
    <w:rsid w:val="00437AC7"/>
    <w:rsid w:val="0044196D"/>
    <w:rsid w:val="00443CDC"/>
    <w:rsid w:val="00444618"/>
    <w:rsid w:val="0044790B"/>
    <w:rsid w:val="00450683"/>
    <w:rsid w:val="00451CC1"/>
    <w:rsid w:val="004521F1"/>
    <w:rsid w:val="00453001"/>
    <w:rsid w:val="0045349E"/>
    <w:rsid w:val="00454A60"/>
    <w:rsid w:val="00454EA7"/>
    <w:rsid w:val="00455FEC"/>
    <w:rsid w:val="004577F7"/>
    <w:rsid w:val="004613A2"/>
    <w:rsid w:val="00461D8C"/>
    <w:rsid w:val="0046423A"/>
    <w:rsid w:val="00465879"/>
    <w:rsid w:val="00465B0B"/>
    <w:rsid w:val="00466146"/>
    <w:rsid w:val="00470F39"/>
    <w:rsid w:val="00471E59"/>
    <w:rsid w:val="00472B77"/>
    <w:rsid w:val="00473A74"/>
    <w:rsid w:val="004744F8"/>
    <w:rsid w:val="004745C5"/>
    <w:rsid w:val="00474C43"/>
    <w:rsid w:val="0047728F"/>
    <w:rsid w:val="00477EF8"/>
    <w:rsid w:val="00483229"/>
    <w:rsid w:val="00483898"/>
    <w:rsid w:val="00483CC2"/>
    <w:rsid w:val="004854AE"/>
    <w:rsid w:val="00486425"/>
    <w:rsid w:val="00486AC0"/>
    <w:rsid w:val="00490309"/>
    <w:rsid w:val="004962D2"/>
    <w:rsid w:val="004A3274"/>
    <w:rsid w:val="004A35B9"/>
    <w:rsid w:val="004A3901"/>
    <w:rsid w:val="004A3985"/>
    <w:rsid w:val="004A55E0"/>
    <w:rsid w:val="004A7D4D"/>
    <w:rsid w:val="004B0C73"/>
    <w:rsid w:val="004B37AF"/>
    <w:rsid w:val="004B4586"/>
    <w:rsid w:val="004B475E"/>
    <w:rsid w:val="004B5D8A"/>
    <w:rsid w:val="004C1DA2"/>
    <w:rsid w:val="004C415B"/>
    <w:rsid w:val="004C4A3E"/>
    <w:rsid w:val="004C7937"/>
    <w:rsid w:val="004C7DAE"/>
    <w:rsid w:val="004D1590"/>
    <w:rsid w:val="004D1667"/>
    <w:rsid w:val="004D1946"/>
    <w:rsid w:val="004D39C0"/>
    <w:rsid w:val="004D4DF8"/>
    <w:rsid w:val="004D50B0"/>
    <w:rsid w:val="004E276D"/>
    <w:rsid w:val="004E3061"/>
    <w:rsid w:val="004F539B"/>
    <w:rsid w:val="004F5871"/>
    <w:rsid w:val="004F69D8"/>
    <w:rsid w:val="004F79D9"/>
    <w:rsid w:val="00500B88"/>
    <w:rsid w:val="00501769"/>
    <w:rsid w:val="005039C4"/>
    <w:rsid w:val="005065B4"/>
    <w:rsid w:val="00510D59"/>
    <w:rsid w:val="00515207"/>
    <w:rsid w:val="00517631"/>
    <w:rsid w:val="00521CE9"/>
    <w:rsid w:val="00522CC8"/>
    <w:rsid w:val="00526EEB"/>
    <w:rsid w:val="00530313"/>
    <w:rsid w:val="0053197E"/>
    <w:rsid w:val="00531B3D"/>
    <w:rsid w:val="005330F3"/>
    <w:rsid w:val="005347B5"/>
    <w:rsid w:val="005352B0"/>
    <w:rsid w:val="00536360"/>
    <w:rsid w:val="00541828"/>
    <w:rsid w:val="00542167"/>
    <w:rsid w:val="0054226D"/>
    <w:rsid w:val="0054512D"/>
    <w:rsid w:val="0054575E"/>
    <w:rsid w:val="00545B40"/>
    <w:rsid w:val="00546204"/>
    <w:rsid w:val="00546DF5"/>
    <w:rsid w:val="005546C9"/>
    <w:rsid w:val="005551E8"/>
    <w:rsid w:val="0055696C"/>
    <w:rsid w:val="0055791D"/>
    <w:rsid w:val="005602E0"/>
    <w:rsid w:val="00560565"/>
    <w:rsid w:val="00562B4F"/>
    <w:rsid w:val="00567123"/>
    <w:rsid w:val="00567297"/>
    <w:rsid w:val="00567DD1"/>
    <w:rsid w:val="00567E9A"/>
    <w:rsid w:val="00570B2F"/>
    <w:rsid w:val="00571A51"/>
    <w:rsid w:val="00572467"/>
    <w:rsid w:val="0057254F"/>
    <w:rsid w:val="00574478"/>
    <w:rsid w:val="00581B7D"/>
    <w:rsid w:val="005820D9"/>
    <w:rsid w:val="0058566D"/>
    <w:rsid w:val="00590749"/>
    <w:rsid w:val="00590BD6"/>
    <w:rsid w:val="00591858"/>
    <w:rsid w:val="00593517"/>
    <w:rsid w:val="0059421B"/>
    <w:rsid w:val="00594C44"/>
    <w:rsid w:val="0059504A"/>
    <w:rsid w:val="00595A0E"/>
    <w:rsid w:val="00596A86"/>
    <w:rsid w:val="005977AF"/>
    <w:rsid w:val="005A17FD"/>
    <w:rsid w:val="005A1AF0"/>
    <w:rsid w:val="005A52FD"/>
    <w:rsid w:val="005A6AEE"/>
    <w:rsid w:val="005A747B"/>
    <w:rsid w:val="005A792D"/>
    <w:rsid w:val="005B5151"/>
    <w:rsid w:val="005B60F9"/>
    <w:rsid w:val="005B6E18"/>
    <w:rsid w:val="005C0427"/>
    <w:rsid w:val="005C15E0"/>
    <w:rsid w:val="005C5B5D"/>
    <w:rsid w:val="005C5E25"/>
    <w:rsid w:val="005C78FF"/>
    <w:rsid w:val="005D3952"/>
    <w:rsid w:val="005D546F"/>
    <w:rsid w:val="005D6A87"/>
    <w:rsid w:val="005E0190"/>
    <w:rsid w:val="005E0721"/>
    <w:rsid w:val="005E4767"/>
    <w:rsid w:val="005E5801"/>
    <w:rsid w:val="005F06F0"/>
    <w:rsid w:val="005F0DCE"/>
    <w:rsid w:val="005F1E3C"/>
    <w:rsid w:val="005F23C0"/>
    <w:rsid w:val="005F3B58"/>
    <w:rsid w:val="005F5AA4"/>
    <w:rsid w:val="005F5FD3"/>
    <w:rsid w:val="005F637A"/>
    <w:rsid w:val="005F66BC"/>
    <w:rsid w:val="00600AA0"/>
    <w:rsid w:val="00600AD1"/>
    <w:rsid w:val="006031D3"/>
    <w:rsid w:val="00605268"/>
    <w:rsid w:val="006054A9"/>
    <w:rsid w:val="006076C3"/>
    <w:rsid w:val="00612364"/>
    <w:rsid w:val="00612F75"/>
    <w:rsid w:val="00617179"/>
    <w:rsid w:val="006175C8"/>
    <w:rsid w:val="00617828"/>
    <w:rsid w:val="00623AE8"/>
    <w:rsid w:val="0062723C"/>
    <w:rsid w:val="00631199"/>
    <w:rsid w:val="006311A3"/>
    <w:rsid w:val="006329AE"/>
    <w:rsid w:val="0063571D"/>
    <w:rsid w:val="00637D5E"/>
    <w:rsid w:val="00640BA9"/>
    <w:rsid w:val="00641189"/>
    <w:rsid w:val="00641699"/>
    <w:rsid w:val="00642957"/>
    <w:rsid w:val="00643159"/>
    <w:rsid w:val="006477D6"/>
    <w:rsid w:val="00650374"/>
    <w:rsid w:val="006528AC"/>
    <w:rsid w:val="0065352A"/>
    <w:rsid w:val="0065486D"/>
    <w:rsid w:val="00655C09"/>
    <w:rsid w:val="006563BC"/>
    <w:rsid w:val="006563EE"/>
    <w:rsid w:val="00657313"/>
    <w:rsid w:val="00657D20"/>
    <w:rsid w:val="006607E8"/>
    <w:rsid w:val="006614EF"/>
    <w:rsid w:val="00661D28"/>
    <w:rsid w:val="006622D0"/>
    <w:rsid w:val="00662F1F"/>
    <w:rsid w:val="00663915"/>
    <w:rsid w:val="006646B2"/>
    <w:rsid w:val="00664AEB"/>
    <w:rsid w:val="00666213"/>
    <w:rsid w:val="00666A28"/>
    <w:rsid w:val="00667069"/>
    <w:rsid w:val="0067061C"/>
    <w:rsid w:val="00670E07"/>
    <w:rsid w:val="00671615"/>
    <w:rsid w:val="0067232B"/>
    <w:rsid w:val="006725E4"/>
    <w:rsid w:val="00672B56"/>
    <w:rsid w:val="0067533D"/>
    <w:rsid w:val="00675453"/>
    <w:rsid w:val="00687BCA"/>
    <w:rsid w:val="00690AEE"/>
    <w:rsid w:val="00690E32"/>
    <w:rsid w:val="0069205D"/>
    <w:rsid w:val="00692579"/>
    <w:rsid w:val="00695A32"/>
    <w:rsid w:val="006A4331"/>
    <w:rsid w:val="006A47A7"/>
    <w:rsid w:val="006A5232"/>
    <w:rsid w:val="006B00CF"/>
    <w:rsid w:val="006B1A3F"/>
    <w:rsid w:val="006B36D0"/>
    <w:rsid w:val="006B3ECF"/>
    <w:rsid w:val="006B6B03"/>
    <w:rsid w:val="006C10F1"/>
    <w:rsid w:val="006C18F1"/>
    <w:rsid w:val="006C2F74"/>
    <w:rsid w:val="006C30C6"/>
    <w:rsid w:val="006D057B"/>
    <w:rsid w:val="006D2D4D"/>
    <w:rsid w:val="006D3151"/>
    <w:rsid w:val="006D3D6B"/>
    <w:rsid w:val="006D4CF6"/>
    <w:rsid w:val="006D6F8E"/>
    <w:rsid w:val="006E1603"/>
    <w:rsid w:val="006E2D55"/>
    <w:rsid w:val="006E3DDF"/>
    <w:rsid w:val="006F2F71"/>
    <w:rsid w:val="006F4514"/>
    <w:rsid w:val="006F50A8"/>
    <w:rsid w:val="006F746F"/>
    <w:rsid w:val="006F7E8A"/>
    <w:rsid w:val="00702994"/>
    <w:rsid w:val="00703781"/>
    <w:rsid w:val="00705511"/>
    <w:rsid w:val="00705B66"/>
    <w:rsid w:val="00705CF2"/>
    <w:rsid w:val="00705EC3"/>
    <w:rsid w:val="0070737D"/>
    <w:rsid w:val="007104B4"/>
    <w:rsid w:val="00710562"/>
    <w:rsid w:val="007123C1"/>
    <w:rsid w:val="00721391"/>
    <w:rsid w:val="00726C35"/>
    <w:rsid w:val="00727A8E"/>
    <w:rsid w:val="00727CF3"/>
    <w:rsid w:val="00730286"/>
    <w:rsid w:val="00731711"/>
    <w:rsid w:val="00733E6B"/>
    <w:rsid w:val="00736920"/>
    <w:rsid w:val="0073742D"/>
    <w:rsid w:val="00737AFC"/>
    <w:rsid w:val="00742778"/>
    <w:rsid w:val="0074441D"/>
    <w:rsid w:val="00744B7C"/>
    <w:rsid w:val="00747425"/>
    <w:rsid w:val="007509EE"/>
    <w:rsid w:val="0075297F"/>
    <w:rsid w:val="00752FB1"/>
    <w:rsid w:val="00753C56"/>
    <w:rsid w:val="00755114"/>
    <w:rsid w:val="007578EC"/>
    <w:rsid w:val="00762DEB"/>
    <w:rsid w:val="00770992"/>
    <w:rsid w:val="00772A76"/>
    <w:rsid w:val="00777122"/>
    <w:rsid w:val="007773BB"/>
    <w:rsid w:val="00777A25"/>
    <w:rsid w:val="007805FB"/>
    <w:rsid w:val="0078271F"/>
    <w:rsid w:val="007840D8"/>
    <w:rsid w:val="007849D5"/>
    <w:rsid w:val="007854FC"/>
    <w:rsid w:val="00792309"/>
    <w:rsid w:val="0079381D"/>
    <w:rsid w:val="00794849"/>
    <w:rsid w:val="00794A28"/>
    <w:rsid w:val="00795DE9"/>
    <w:rsid w:val="007969BB"/>
    <w:rsid w:val="007A33B0"/>
    <w:rsid w:val="007A4777"/>
    <w:rsid w:val="007A5165"/>
    <w:rsid w:val="007A58C2"/>
    <w:rsid w:val="007A7720"/>
    <w:rsid w:val="007B11A3"/>
    <w:rsid w:val="007B2AD7"/>
    <w:rsid w:val="007B7200"/>
    <w:rsid w:val="007C20C4"/>
    <w:rsid w:val="007C2755"/>
    <w:rsid w:val="007C34F1"/>
    <w:rsid w:val="007C4247"/>
    <w:rsid w:val="007C44C7"/>
    <w:rsid w:val="007C703F"/>
    <w:rsid w:val="007C7E42"/>
    <w:rsid w:val="007D042F"/>
    <w:rsid w:val="007D2A81"/>
    <w:rsid w:val="007D4575"/>
    <w:rsid w:val="007D4AAD"/>
    <w:rsid w:val="007D5039"/>
    <w:rsid w:val="007D605F"/>
    <w:rsid w:val="007D68E7"/>
    <w:rsid w:val="007E2229"/>
    <w:rsid w:val="007E26AD"/>
    <w:rsid w:val="007E3DD6"/>
    <w:rsid w:val="007E6F4B"/>
    <w:rsid w:val="007E7BF1"/>
    <w:rsid w:val="007F4816"/>
    <w:rsid w:val="007F4D23"/>
    <w:rsid w:val="007F5368"/>
    <w:rsid w:val="007F6373"/>
    <w:rsid w:val="007F6FB8"/>
    <w:rsid w:val="00800586"/>
    <w:rsid w:val="0080131F"/>
    <w:rsid w:val="00804511"/>
    <w:rsid w:val="008071BC"/>
    <w:rsid w:val="0080741A"/>
    <w:rsid w:val="0081034A"/>
    <w:rsid w:val="00811CCA"/>
    <w:rsid w:val="00812409"/>
    <w:rsid w:val="00812C6D"/>
    <w:rsid w:val="0081404C"/>
    <w:rsid w:val="00816815"/>
    <w:rsid w:val="00816C1C"/>
    <w:rsid w:val="00820E4A"/>
    <w:rsid w:val="00822893"/>
    <w:rsid w:val="00823920"/>
    <w:rsid w:val="00825091"/>
    <w:rsid w:val="00831BF2"/>
    <w:rsid w:val="00833751"/>
    <w:rsid w:val="008346A3"/>
    <w:rsid w:val="008351FC"/>
    <w:rsid w:val="008354E4"/>
    <w:rsid w:val="00835942"/>
    <w:rsid w:val="00836698"/>
    <w:rsid w:val="00841656"/>
    <w:rsid w:val="00842193"/>
    <w:rsid w:val="00843C37"/>
    <w:rsid w:val="0084496E"/>
    <w:rsid w:val="00845120"/>
    <w:rsid w:val="0084584A"/>
    <w:rsid w:val="00850565"/>
    <w:rsid w:val="008523C8"/>
    <w:rsid w:val="008527DB"/>
    <w:rsid w:val="00853F0C"/>
    <w:rsid w:val="008552D1"/>
    <w:rsid w:val="00855A7B"/>
    <w:rsid w:val="0086425F"/>
    <w:rsid w:val="00865454"/>
    <w:rsid w:val="00867736"/>
    <w:rsid w:val="008701F6"/>
    <w:rsid w:val="00870224"/>
    <w:rsid w:val="008730D2"/>
    <w:rsid w:val="0087551A"/>
    <w:rsid w:val="00876E54"/>
    <w:rsid w:val="00876ECB"/>
    <w:rsid w:val="008771C6"/>
    <w:rsid w:val="00881F73"/>
    <w:rsid w:val="00884571"/>
    <w:rsid w:val="00887051"/>
    <w:rsid w:val="008871D1"/>
    <w:rsid w:val="00890573"/>
    <w:rsid w:val="00891EFF"/>
    <w:rsid w:val="008928AE"/>
    <w:rsid w:val="008950A1"/>
    <w:rsid w:val="008A0E03"/>
    <w:rsid w:val="008A360F"/>
    <w:rsid w:val="008A388F"/>
    <w:rsid w:val="008A3A80"/>
    <w:rsid w:val="008A4FE6"/>
    <w:rsid w:val="008A5066"/>
    <w:rsid w:val="008B009A"/>
    <w:rsid w:val="008B148A"/>
    <w:rsid w:val="008B25FE"/>
    <w:rsid w:val="008B2914"/>
    <w:rsid w:val="008B2DFE"/>
    <w:rsid w:val="008B30F3"/>
    <w:rsid w:val="008B3B3E"/>
    <w:rsid w:val="008B4BA3"/>
    <w:rsid w:val="008B50C8"/>
    <w:rsid w:val="008B6832"/>
    <w:rsid w:val="008B70E4"/>
    <w:rsid w:val="008C054E"/>
    <w:rsid w:val="008C2AFB"/>
    <w:rsid w:val="008C46E1"/>
    <w:rsid w:val="008C7A13"/>
    <w:rsid w:val="008D104D"/>
    <w:rsid w:val="008D34E4"/>
    <w:rsid w:val="008D372D"/>
    <w:rsid w:val="008D53EB"/>
    <w:rsid w:val="008E0679"/>
    <w:rsid w:val="008E090F"/>
    <w:rsid w:val="008E0B75"/>
    <w:rsid w:val="008E48E8"/>
    <w:rsid w:val="008E4D5C"/>
    <w:rsid w:val="008E58A1"/>
    <w:rsid w:val="008E7470"/>
    <w:rsid w:val="008E75B4"/>
    <w:rsid w:val="008F0196"/>
    <w:rsid w:val="008F145F"/>
    <w:rsid w:val="008F227F"/>
    <w:rsid w:val="008F5DAA"/>
    <w:rsid w:val="008F65A9"/>
    <w:rsid w:val="00902485"/>
    <w:rsid w:val="00907014"/>
    <w:rsid w:val="009073A5"/>
    <w:rsid w:val="009113C7"/>
    <w:rsid w:val="00911ADA"/>
    <w:rsid w:val="00914BBF"/>
    <w:rsid w:val="00915EA6"/>
    <w:rsid w:val="00916361"/>
    <w:rsid w:val="00916DC9"/>
    <w:rsid w:val="009200F7"/>
    <w:rsid w:val="00920368"/>
    <w:rsid w:val="00921F8B"/>
    <w:rsid w:val="00922C4F"/>
    <w:rsid w:val="009243AD"/>
    <w:rsid w:val="00925992"/>
    <w:rsid w:val="00925E72"/>
    <w:rsid w:val="009302B1"/>
    <w:rsid w:val="009306C1"/>
    <w:rsid w:val="0093178F"/>
    <w:rsid w:val="00940ED7"/>
    <w:rsid w:val="009425D1"/>
    <w:rsid w:val="00943707"/>
    <w:rsid w:val="00944D69"/>
    <w:rsid w:val="00946BB3"/>
    <w:rsid w:val="00953507"/>
    <w:rsid w:val="009539CF"/>
    <w:rsid w:val="00954E38"/>
    <w:rsid w:val="0095556A"/>
    <w:rsid w:val="00956E4E"/>
    <w:rsid w:val="00957952"/>
    <w:rsid w:val="00962833"/>
    <w:rsid w:val="009640E0"/>
    <w:rsid w:val="00964427"/>
    <w:rsid w:val="00967621"/>
    <w:rsid w:val="00970A3B"/>
    <w:rsid w:val="0097220F"/>
    <w:rsid w:val="00972E41"/>
    <w:rsid w:val="009738DD"/>
    <w:rsid w:val="00977E96"/>
    <w:rsid w:val="00980037"/>
    <w:rsid w:val="009806EB"/>
    <w:rsid w:val="0098156C"/>
    <w:rsid w:val="00983035"/>
    <w:rsid w:val="00983DAB"/>
    <w:rsid w:val="009918D7"/>
    <w:rsid w:val="00992456"/>
    <w:rsid w:val="00993724"/>
    <w:rsid w:val="00997B90"/>
    <w:rsid w:val="009A1382"/>
    <w:rsid w:val="009A4A84"/>
    <w:rsid w:val="009A68D7"/>
    <w:rsid w:val="009B029F"/>
    <w:rsid w:val="009B20C5"/>
    <w:rsid w:val="009B4CCF"/>
    <w:rsid w:val="009C0191"/>
    <w:rsid w:val="009C237A"/>
    <w:rsid w:val="009C337D"/>
    <w:rsid w:val="009C3487"/>
    <w:rsid w:val="009C68B1"/>
    <w:rsid w:val="009C6C29"/>
    <w:rsid w:val="009C7210"/>
    <w:rsid w:val="009D2F5B"/>
    <w:rsid w:val="009D3B44"/>
    <w:rsid w:val="009D610E"/>
    <w:rsid w:val="009E2426"/>
    <w:rsid w:val="009E42AC"/>
    <w:rsid w:val="009E4E2B"/>
    <w:rsid w:val="009E74CE"/>
    <w:rsid w:val="009F32DC"/>
    <w:rsid w:val="009F6E4D"/>
    <w:rsid w:val="00A022BB"/>
    <w:rsid w:val="00A03001"/>
    <w:rsid w:val="00A04DF4"/>
    <w:rsid w:val="00A05F11"/>
    <w:rsid w:val="00A073CD"/>
    <w:rsid w:val="00A11C4A"/>
    <w:rsid w:val="00A11D21"/>
    <w:rsid w:val="00A12712"/>
    <w:rsid w:val="00A134D1"/>
    <w:rsid w:val="00A14B19"/>
    <w:rsid w:val="00A201A6"/>
    <w:rsid w:val="00A20AAD"/>
    <w:rsid w:val="00A23CDC"/>
    <w:rsid w:val="00A2411D"/>
    <w:rsid w:val="00A254E9"/>
    <w:rsid w:val="00A255E5"/>
    <w:rsid w:val="00A26180"/>
    <w:rsid w:val="00A270F5"/>
    <w:rsid w:val="00A30288"/>
    <w:rsid w:val="00A311CF"/>
    <w:rsid w:val="00A32AF5"/>
    <w:rsid w:val="00A34B10"/>
    <w:rsid w:val="00A35626"/>
    <w:rsid w:val="00A376A7"/>
    <w:rsid w:val="00A4134D"/>
    <w:rsid w:val="00A4323E"/>
    <w:rsid w:val="00A44D6D"/>
    <w:rsid w:val="00A5407E"/>
    <w:rsid w:val="00A54DF1"/>
    <w:rsid w:val="00A56F70"/>
    <w:rsid w:val="00A57483"/>
    <w:rsid w:val="00A62B7B"/>
    <w:rsid w:val="00A630B9"/>
    <w:rsid w:val="00A647EF"/>
    <w:rsid w:val="00A66F0C"/>
    <w:rsid w:val="00A74ED8"/>
    <w:rsid w:val="00A75112"/>
    <w:rsid w:val="00A75CEC"/>
    <w:rsid w:val="00A76503"/>
    <w:rsid w:val="00A77455"/>
    <w:rsid w:val="00A80E6C"/>
    <w:rsid w:val="00A836CA"/>
    <w:rsid w:val="00A87A6A"/>
    <w:rsid w:val="00A9069F"/>
    <w:rsid w:val="00A90EC9"/>
    <w:rsid w:val="00A93B25"/>
    <w:rsid w:val="00A946B8"/>
    <w:rsid w:val="00A94988"/>
    <w:rsid w:val="00AA20FD"/>
    <w:rsid w:val="00AA20FF"/>
    <w:rsid w:val="00AA371A"/>
    <w:rsid w:val="00AA4EA8"/>
    <w:rsid w:val="00AA5A20"/>
    <w:rsid w:val="00AA68FA"/>
    <w:rsid w:val="00AB0316"/>
    <w:rsid w:val="00AC204B"/>
    <w:rsid w:val="00AC21D5"/>
    <w:rsid w:val="00AC32DC"/>
    <w:rsid w:val="00AD418C"/>
    <w:rsid w:val="00AD49E8"/>
    <w:rsid w:val="00AD4A52"/>
    <w:rsid w:val="00AD4BEE"/>
    <w:rsid w:val="00AE232A"/>
    <w:rsid w:val="00AE44B5"/>
    <w:rsid w:val="00AE5F46"/>
    <w:rsid w:val="00AE5F51"/>
    <w:rsid w:val="00AE672F"/>
    <w:rsid w:val="00AF112F"/>
    <w:rsid w:val="00AF17AE"/>
    <w:rsid w:val="00AF2A77"/>
    <w:rsid w:val="00AF687B"/>
    <w:rsid w:val="00AF6E09"/>
    <w:rsid w:val="00B011CE"/>
    <w:rsid w:val="00B06047"/>
    <w:rsid w:val="00B111B0"/>
    <w:rsid w:val="00B1127E"/>
    <w:rsid w:val="00B168D7"/>
    <w:rsid w:val="00B169DA"/>
    <w:rsid w:val="00B173EC"/>
    <w:rsid w:val="00B200D7"/>
    <w:rsid w:val="00B27A39"/>
    <w:rsid w:val="00B325FB"/>
    <w:rsid w:val="00B32B0A"/>
    <w:rsid w:val="00B330BA"/>
    <w:rsid w:val="00B35514"/>
    <w:rsid w:val="00B36463"/>
    <w:rsid w:val="00B40DB2"/>
    <w:rsid w:val="00B43FAA"/>
    <w:rsid w:val="00B449A3"/>
    <w:rsid w:val="00B455B1"/>
    <w:rsid w:val="00B46B59"/>
    <w:rsid w:val="00B47392"/>
    <w:rsid w:val="00B5050F"/>
    <w:rsid w:val="00B509C4"/>
    <w:rsid w:val="00B54201"/>
    <w:rsid w:val="00B5798E"/>
    <w:rsid w:val="00B608AF"/>
    <w:rsid w:val="00B611F8"/>
    <w:rsid w:val="00B64E95"/>
    <w:rsid w:val="00B65DA3"/>
    <w:rsid w:val="00B65F25"/>
    <w:rsid w:val="00B729FD"/>
    <w:rsid w:val="00B73227"/>
    <w:rsid w:val="00B73916"/>
    <w:rsid w:val="00B7426A"/>
    <w:rsid w:val="00B749C1"/>
    <w:rsid w:val="00B777DF"/>
    <w:rsid w:val="00B809BF"/>
    <w:rsid w:val="00B81833"/>
    <w:rsid w:val="00B822F8"/>
    <w:rsid w:val="00B84143"/>
    <w:rsid w:val="00B843B5"/>
    <w:rsid w:val="00B87B15"/>
    <w:rsid w:val="00B90E98"/>
    <w:rsid w:val="00B93727"/>
    <w:rsid w:val="00B9572A"/>
    <w:rsid w:val="00BA202B"/>
    <w:rsid w:val="00BA33B2"/>
    <w:rsid w:val="00BB38CC"/>
    <w:rsid w:val="00BB3D70"/>
    <w:rsid w:val="00BB40B6"/>
    <w:rsid w:val="00BB47BF"/>
    <w:rsid w:val="00BB4DF0"/>
    <w:rsid w:val="00BC0E5F"/>
    <w:rsid w:val="00BC0FD5"/>
    <w:rsid w:val="00BC42C1"/>
    <w:rsid w:val="00BD0278"/>
    <w:rsid w:val="00BD0892"/>
    <w:rsid w:val="00BD1F45"/>
    <w:rsid w:val="00BD2070"/>
    <w:rsid w:val="00BD2668"/>
    <w:rsid w:val="00BD2CA8"/>
    <w:rsid w:val="00BD334D"/>
    <w:rsid w:val="00BD36BF"/>
    <w:rsid w:val="00BD7366"/>
    <w:rsid w:val="00BE09B4"/>
    <w:rsid w:val="00BE413B"/>
    <w:rsid w:val="00BE4198"/>
    <w:rsid w:val="00BE5502"/>
    <w:rsid w:val="00BE5F84"/>
    <w:rsid w:val="00BF3FE5"/>
    <w:rsid w:val="00BF539E"/>
    <w:rsid w:val="00C02348"/>
    <w:rsid w:val="00C02A72"/>
    <w:rsid w:val="00C02D33"/>
    <w:rsid w:val="00C05D32"/>
    <w:rsid w:val="00C11479"/>
    <w:rsid w:val="00C133D2"/>
    <w:rsid w:val="00C14725"/>
    <w:rsid w:val="00C14DDC"/>
    <w:rsid w:val="00C15287"/>
    <w:rsid w:val="00C20589"/>
    <w:rsid w:val="00C20BA7"/>
    <w:rsid w:val="00C23086"/>
    <w:rsid w:val="00C24217"/>
    <w:rsid w:val="00C245CD"/>
    <w:rsid w:val="00C24B80"/>
    <w:rsid w:val="00C30172"/>
    <w:rsid w:val="00C34630"/>
    <w:rsid w:val="00C427B6"/>
    <w:rsid w:val="00C43313"/>
    <w:rsid w:val="00C445A0"/>
    <w:rsid w:val="00C45083"/>
    <w:rsid w:val="00C45C5A"/>
    <w:rsid w:val="00C509EE"/>
    <w:rsid w:val="00C51B2B"/>
    <w:rsid w:val="00C570FA"/>
    <w:rsid w:val="00C57F55"/>
    <w:rsid w:val="00C627E5"/>
    <w:rsid w:val="00C65647"/>
    <w:rsid w:val="00C66665"/>
    <w:rsid w:val="00C66EB6"/>
    <w:rsid w:val="00C71478"/>
    <w:rsid w:val="00C72064"/>
    <w:rsid w:val="00C720DE"/>
    <w:rsid w:val="00C72BC5"/>
    <w:rsid w:val="00C73567"/>
    <w:rsid w:val="00C75117"/>
    <w:rsid w:val="00C76E60"/>
    <w:rsid w:val="00C805CA"/>
    <w:rsid w:val="00C80BA3"/>
    <w:rsid w:val="00C80CC2"/>
    <w:rsid w:val="00C81FD8"/>
    <w:rsid w:val="00C828A0"/>
    <w:rsid w:val="00C84F0A"/>
    <w:rsid w:val="00C86504"/>
    <w:rsid w:val="00C87619"/>
    <w:rsid w:val="00C906BC"/>
    <w:rsid w:val="00C90EDA"/>
    <w:rsid w:val="00C9154B"/>
    <w:rsid w:val="00C91DEE"/>
    <w:rsid w:val="00C92573"/>
    <w:rsid w:val="00C92667"/>
    <w:rsid w:val="00C928A4"/>
    <w:rsid w:val="00C94D7E"/>
    <w:rsid w:val="00C958ED"/>
    <w:rsid w:val="00C96A22"/>
    <w:rsid w:val="00C97D50"/>
    <w:rsid w:val="00CA063F"/>
    <w:rsid w:val="00CA10F8"/>
    <w:rsid w:val="00CA3431"/>
    <w:rsid w:val="00CA4596"/>
    <w:rsid w:val="00CA4B7C"/>
    <w:rsid w:val="00CA6B21"/>
    <w:rsid w:val="00CA7A3D"/>
    <w:rsid w:val="00CA7F8E"/>
    <w:rsid w:val="00CB24E1"/>
    <w:rsid w:val="00CB35A9"/>
    <w:rsid w:val="00CB5088"/>
    <w:rsid w:val="00CB5CC0"/>
    <w:rsid w:val="00CB684C"/>
    <w:rsid w:val="00CB6FBB"/>
    <w:rsid w:val="00CB7841"/>
    <w:rsid w:val="00CC4381"/>
    <w:rsid w:val="00CC54DA"/>
    <w:rsid w:val="00CC7342"/>
    <w:rsid w:val="00CD614B"/>
    <w:rsid w:val="00CD6295"/>
    <w:rsid w:val="00CD6A45"/>
    <w:rsid w:val="00CE0DA2"/>
    <w:rsid w:val="00CE2025"/>
    <w:rsid w:val="00CE4944"/>
    <w:rsid w:val="00CE53C6"/>
    <w:rsid w:val="00CF00B6"/>
    <w:rsid w:val="00CF3364"/>
    <w:rsid w:val="00D00854"/>
    <w:rsid w:val="00D008FD"/>
    <w:rsid w:val="00D05DD8"/>
    <w:rsid w:val="00D1006D"/>
    <w:rsid w:val="00D11F67"/>
    <w:rsid w:val="00D12C72"/>
    <w:rsid w:val="00D13410"/>
    <w:rsid w:val="00D14E07"/>
    <w:rsid w:val="00D1503D"/>
    <w:rsid w:val="00D16456"/>
    <w:rsid w:val="00D16D27"/>
    <w:rsid w:val="00D2059D"/>
    <w:rsid w:val="00D20E23"/>
    <w:rsid w:val="00D20E3E"/>
    <w:rsid w:val="00D21FB7"/>
    <w:rsid w:val="00D23821"/>
    <w:rsid w:val="00D23C98"/>
    <w:rsid w:val="00D24A27"/>
    <w:rsid w:val="00D30D56"/>
    <w:rsid w:val="00D34BE5"/>
    <w:rsid w:val="00D3629B"/>
    <w:rsid w:val="00D3684C"/>
    <w:rsid w:val="00D37A42"/>
    <w:rsid w:val="00D40F38"/>
    <w:rsid w:val="00D434C1"/>
    <w:rsid w:val="00D439B9"/>
    <w:rsid w:val="00D43FCC"/>
    <w:rsid w:val="00D44A0E"/>
    <w:rsid w:val="00D45418"/>
    <w:rsid w:val="00D45B27"/>
    <w:rsid w:val="00D47F25"/>
    <w:rsid w:val="00D52074"/>
    <w:rsid w:val="00D526C1"/>
    <w:rsid w:val="00D531E4"/>
    <w:rsid w:val="00D53CAE"/>
    <w:rsid w:val="00D54AB1"/>
    <w:rsid w:val="00D54DE9"/>
    <w:rsid w:val="00D56953"/>
    <w:rsid w:val="00D606B9"/>
    <w:rsid w:val="00D6451D"/>
    <w:rsid w:val="00D677ED"/>
    <w:rsid w:val="00D70C8E"/>
    <w:rsid w:val="00D718E8"/>
    <w:rsid w:val="00D75677"/>
    <w:rsid w:val="00D75ACF"/>
    <w:rsid w:val="00D75E15"/>
    <w:rsid w:val="00D86B89"/>
    <w:rsid w:val="00D90E55"/>
    <w:rsid w:val="00D9301D"/>
    <w:rsid w:val="00DA022F"/>
    <w:rsid w:val="00DA3350"/>
    <w:rsid w:val="00DA5D41"/>
    <w:rsid w:val="00DA64E4"/>
    <w:rsid w:val="00DB05D0"/>
    <w:rsid w:val="00DB14B9"/>
    <w:rsid w:val="00DB43AB"/>
    <w:rsid w:val="00DB77FE"/>
    <w:rsid w:val="00DC404D"/>
    <w:rsid w:val="00DC644C"/>
    <w:rsid w:val="00DC67B9"/>
    <w:rsid w:val="00DC7117"/>
    <w:rsid w:val="00DC7152"/>
    <w:rsid w:val="00DD0321"/>
    <w:rsid w:val="00DD4B77"/>
    <w:rsid w:val="00DD5F6E"/>
    <w:rsid w:val="00DD6918"/>
    <w:rsid w:val="00DD7118"/>
    <w:rsid w:val="00DE0D7D"/>
    <w:rsid w:val="00DE1C63"/>
    <w:rsid w:val="00DE3065"/>
    <w:rsid w:val="00DE51BB"/>
    <w:rsid w:val="00DE73EC"/>
    <w:rsid w:val="00DE7F0A"/>
    <w:rsid w:val="00DF0FDA"/>
    <w:rsid w:val="00DF1EB4"/>
    <w:rsid w:val="00DF47A8"/>
    <w:rsid w:val="00DF6270"/>
    <w:rsid w:val="00DF77C4"/>
    <w:rsid w:val="00E06F26"/>
    <w:rsid w:val="00E13F50"/>
    <w:rsid w:val="00E14372"/>
    <w:rsid w:val="00E1443A"/>
    <w:rsid w:val="00E14D90"/>
    <w:rsid w:val="00E14E7D"/>
    <w:rsid w:val="00E15FD9"/>
    <w:rsid w:val="00E162DA"/>
    <w:rsid w:val="00E233CD"/>
    <w:rsid w:val="00E23893"/>
    <w:rsid w:val="00E2406B"/>
    <w:rsid w:val="00E2680E"/>
    <w:rsid w:val="00E27C84"/>
    <w:rsid w:val="00E27E80"/>
    <w:rsid w:val="00E31218"/>
    <w:rsid w:val="00E31658"/>
    <w:rsid w:val="00E31EF9"/>
    <w:rsid w:val="00E35D7B"/>
    <w:rsid w:val="00E44BF9"/>
    <w:rsid w:val="00E44E83"/>
    <w:rsid w:val="00E4592B"/>
    <w:rsid w:val="00E4644B"/>
    <w:rsid w:val="00E475A9"/>
    <w:rsid w:val="00E47FDA"/>
    <w:rsid w:val="00E51859"/>
    <w:rsid w:val="00E55ECE"/>
    <w:rsid w:val="00E56425"/>
    <w:rsid w:val="00E57570"/>
    <w:rsid w:val="00E61A34"/>
    <w:rsid w:val="00E634CB"/>
    <w:rsid w:val="00E63693"/>
    <w:rsid w:val="00E66B8E"/>
    <w:rsid w:val="00E67648"/>
    <w:rsid w:val="00E67A5C"/>
    <w:rsid w:val="00E70A9A"/>
    <w:rsid w:val="00E714AE"/>
    <w:rsid w:val="00E729CF"/>
    <w:rsid w:val="00E73450"/>
    <w:rsid w:val="00E74D67"/>
    <w:rsid w:val="00E84E22"/>
    <w:rsid w:val="00E84E6F"/>
    <w:rsid w:val="00E8537A"/>
    <w:rsid w:val="00E85A92"/>
    <w:rsid w:val="00E85F23"/>
    <w:rsid w:val="00E86150"/>
    <w:rsid w:val="00E86B76"/>
    <w:rsid w:val="00E86D64"/>
    <w:rsid w:val="00E91F0F"/>
    <w:rsid w:val="00E958AA"/>
    <w:rsid w:val="00E96313"/>
    <w:rsid w:val="00E969B3"/>
    <w:rsid w:val="00EA4FC9"/>
    <w:rsid w:val="00EA58D9"/>
    <w:rsid w:val="00EA6613"/>
    <w:rsid w:val="00EB113A"/>
    <w:rsid w:val="00EB4E24"/>
    <w:rsid w:val="00EB6247"/>
    <w:rsid w:val="00EB74B8"/>
    <w:rsid w:val="00EB7EE4"/>
    <w:rsid w:val="00EC0F0D"/>
    <w:rsid w:val="00EC61AB"/>
    <w:rsid w:val="00EC63F0"/>
    <w:rsid w:val="00EC6D83"/>
    <w:rsid w:val="00EC7ACC"/>
    <w:rsid w:val="00EC7E0A"/>
    <w:rsid w:val="00EC7E55"/>
    <w:rsid w:val="00ED41EE"/>
    <w:rsid w:val="00EE0CC0"/>
    <w:rsid w:val="00EE23CC"/>
    <w:rsid w:val="00EF1799"/>
    <w:rsid w:val="00EF19EF"/>
    <w:rsid w:val="00EF2EC0"/>
    <w:rsid w:val="00EF588E"/>
    <w:rsid w:val="00EF58DD"/>
    <w:rsid w:val="00EF7202"/>
    <w:rsid w:val="00F01639"/>
    <w:rsid w:val="00F021F4"/>
    <w:rsid w:val="00F02962"/>
    <w:rsid w:val="00F03E53"/>
    <w:rsid w:val="00F0554F"/>
    <w:rsid w:val="00F067DA"/>
    <w:rsid w:val="00F06D63"/>
    <w:rsid w:val="00F07758"/>
    <w:rsid w:val="00F11D67"/>
    <w:rsid w:val="00F20650"/>
    <w:rsid w:val="00F20B39"/>
    <w:rsid w:val="00F25A6B"/>
    <w:rsid w:val="00F264BE"/>
    <w:rsid w:val="00F3130D"/>
    <w:rsid w:val="00F35829"/>
    <w:rsid w:val="00F36D31"/>
    <w:rsid w:val="00F37E7E"/>
    <w:rsid w:val="00F43AC5"/>
    <w:rsid w:val="00F43E68"/>
    <w:rsid w:val="00F440E4"/>
    <w:rsid w:val="00F4479B"/>
    <w:rsid w:val="00F44980"/>
    <w:rsid w:val="00F44CC2"/>
    <w:rsid w:val="00F46D3B"/>
    <w:rsid w:val="00F55298"/>
    <w:rsid w:val="00F60BEC"/>
    <w:rsid w:val="00F61331"/>
    <w:rsid w:val="00F6279B"/>
    <w:rsid w:val="00F64397"/>
    <w:rsid w:val="00F6466C"/>
    <w:rsid w:val="00F647F5"/>
    <w:rsid w:val="00F66F08"/>
    <w:rsid w:val="00F679EC"/>
    <w:rsid w:val="00F7040C"/>
    <w:rsid w:val="00F711E5"/>
    <w:rsid w:val="00F715F6"/>
    <w:rsid w:val="00F71B56"/>
    <w:rsid w:val="00F754BA"/>
    <w:rsid w:val="00F840A5"/>
    <w:rsid w:val="00F84327"/>
    <w:rsid w:val="00F843B1"/>
    <w:rsid w:val="00F8541A"/>
    <w:rsid w:val="00F85837"/>
    <w:rsid w:val="00F86713"/>
    <w:rsid w:val="00F86723"/>
    <w:rsid w:val="00F870CF"/>
    <w:rsid w:val="00F94BF3"/>
    <w:rsid w:val="00F961E3"/>
    <w:rsid w:val="00F96CC2"/>
    <w:rsid w:val="00FA0C39"/>
    <w:rsid w:val="00FA14E5"/>
    <w:rsid w:val="00FA66AE"/>
    <w:rsid w:val="00FA66FE"/>
    <w:rsid w:val="00FA7323"/>
    <w:rsid w:val="00FB0AE2"/>
    <w:rsid w:val="00FB407B"/>
    <w:rsid w:val="00FB470B"/>
    <w:rsid w:val="00FB48BC"/>
    <w:rsid w:val="00FB4B81"/>
    <w:rsid w:val="00FB5019"/>
    <w:rsid w:val="00FB657B"/>
    <w:rsid w:val="00FB7374"/>
    <w:rsid w:val="00FC24D8"/>
    <w:rsid w:val="00FC5207"/>
    <w:rsid w:val="00FC573C"/>
    <w:rsid w:val="00FC5EFB"/>
    <w:rsid w:val="00FC750D"/>
    <w:rsid w:val="00FD5CDE"/>
    <w:rsid w:val="00FD7260"/>
    <w:rsid w:val="00FE06CF"/>
    <w:rsid w:val="00FE094C"/>
    <w:rsid w:val="00FE0DC1"/>
    <w:rsid w:val="00FE160A"/>
    <w:rsid w:val="00FE4D94"/>
    <w:rsid w:val="00FF24A4"/>
    <w:rsid w:val="00FF2A04"/>
    <w:rsid w:val="00FF3947"/>
    <w:rsid w:val="00FF3BB9"/>
    <w:rsid w:val="00FF5BF9"/>
    <w:rsid w:val="00FF6D83"/>
    <w:rsid w:val="00F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65C77FB2"/>
  <w15:chartTrackingRefBased/>
  <w15:docId w15:val="{D8B280FC-39D2-4329-8C75-AA6DEA9A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spacing w:before="120"/>
    </w:pPr>
    <w:rPr>
      <w:rFonts w:ascii="Arial" w:hAnsi="Arial"/>
      <w:bCs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tabs>
        <w:tab w:val="left" w:pos="851"/>
      </w:tabs>
      <w:spacing w:after="120"/>
      <w:outlineLvl w:val="0"/>
    </w:pPr>
    <w:rPr>
      <w:rFonts w:cs="Arial"/>
      <w:b/>
      <w:bCs w:val="0"/>
      <w:color w:val="00958F"/>
      <w:kern w:val="32"/>
      <w:sz w:val="24"/>
      <w:szCs w:val="32"/>
    </w:rPr>
  </w:style>
  <w:style w:type="paragraph" w:styleId="Nadpis2">
    <w:name w:val="heading 2"/>
    <w:basedOn w:val="Normlny"/>
    <w:next w:val="Normlny"/>
    <w:qFormat/>
    <w:rsid w:val="00C427B6"/>
    <w:pPr>
      <w:keepNext/>
      <w:numPr>
        <w:ilvl w:val="1"/>
        <w:numId w:val="1"/>
      </w:numPr>
      <w:tabs>
        <w:tab w:val="clear" w:pos="567"/>
      </w:tabs>
      <w:spacing w:after="120"/>
      <w:ind w:left="0" w:firstLine="0"/>
      <w:outlineLvl w:val="1"/>
    </w:pPr>
    <w:rPr>
      <w:rFonts w:cs="Arial"/>
      <w:b/>
      <w:bCs w:val="0"/>
      <w:iCs/>
      <w:color w:val="002D62"/>
      <w:sz w:val="22"/>
      <w:szCs w:val="28"/>
    </w:rPr>
  </w:style>
  <w:style w:type="paragraph" w:styleId="Nadpis3">
    <w:name w:val="heading 3"/>
    <w:basedOn w:val="Normlny"/>
    <w:next w:val="Normlny"/>
    <w:link w:val="Nadpis3Char"/>
    <w:qFormat/>
    <w:rsid w:val="00C427B6"/>
    <w:pPr>
      <w:keepNext/>
      <w:numPr>
        <w:ilvl w:val="2"/>
        <w:numId w:val="1"/>
      </w:numPr>
      <w:tabs>
        <w:tab w:val="clear" w:pos="4679"/>
      </w:tabs>
      <w:spacing w:after="120"/>
      <w:ind w:left="709" w:hanging="709"/>
      <w:outlineLvl w:val="2"/>
    </w:pPr>
    <w:rPr>
      <w:rFonts w:cs="Arial"/>
      <w:b/>
      <w:bCs w:val="0"/>
      <w:szCs w:val="20"/>
    </w:rPr>
  </w:style>
  <w:style w:type="paragraph" w:styleId="Nadpis4">
    <w:name w:val="heading 4"/>
    <w:basedOn w:val="Normlny"/>
    <w:next w:val="Normlny"/>
    <w:qFormat/>
    <w:rsid w:val="000702B3"/>
    <w:pPr>
      <w:keepNext/>
      <w:numPr>
        <w:ilvl w:val="3"/>
        <w:numId w:val="1"/>
      </w:numPr>
      <w:tabs>
        <w:tab w:val="clear" w:pos="426"/>
      </w:tabs>
      <w:spacing w:after="120"/>
      <w:ind w:left="709" w:hanging="709"/>
      <w:outlineLvl w:val="3"/>
    </w:pPr>
    <w:rPr>
      <w:rFonts w:cs="Arial"/>
      <w:szCs w:val="20"/>
    </w:rPr>
  </w:style>
  <w:style w:type="paragraph" w:styleId="Nadpis5">
    <w:name w:val="heading 5"/>
    <w:basedOn w:val="Normlny"/>
    <w:next w:val="Normlny"/>
    <w:qFormat/>
    <w:pPr>
      <w:numPr>
        <w:ilvl w:val="4"/>
        <w:numId w:val="1"/>
      </w:numPr>
      <w:spacing w:before="240" w:after="60"/>
      <w:outlineLvl w:val="4"/>
    </w:pPr>
    <w:rPr>
      <w:bCs w:val="0"/>
      <w:szCs w:val="26"/>
    </w:rPr>
  </w:style>
  <w:style w:type="paragraph" w:styleId="Nadpis6">
    <w:name w:val="heading 6"/>
    <w:basedOn w:val="Normlny"/>
    <w:next w:val="Normlny"/>
    <w:qFormat/>
    <w:pPr>
      <w:numPr>
        <w:ilvl w:val="5"/>
        <w:numId w:val="1"/>
      </w:numPr>
      <w:spacing w:before="240" w:after="60"/>
      <w:outlineLvl w:val="5"/>
    </w:pPr>
    <w:rPr>
      <w:rFonts w:cs="Arial"/>
      <w:szCs w:val="22"/>
    </w:rPr>
  </w:style>
  <w:style w:type="paragraph" w:styleId="Nadpis7">
    <w:name w:val="heading 7"/>
    <w:basedOn w:val="Normlny"/>
    <w:next w:val="Normlny"/>
    <w:qFormat/>
    <w:pPr>
      <w:numPr>
        <w:ilvl w:val="6"/>
        <w:numId w:val="1"/>
      </w:numPr>
      <w:spacing w:before="240" w:after="60"/>
      <w:outlineLvl w:val="6"/>
    </w:pPr>
    <w:rPr>
      <w:rFonts w:cs="Arial"/>
    </w:rPr>
  </w:style>
  <w:style w:type="paragraph" w:styleId="Nadpis8">
    <w:name w:val="heading 8"/>
    <w:basedOn w:val="Normlny"/>
    <w:next w:val="Norm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</w:rPr>
  </w:style>
  <w:style w:type="paragraph" w:styleId="Nadpis9">
    <w:name w:val="heading 9"/>
    <w:basedOn w:val="Normlny"/>
    <w:next w:val="Norm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ojmy">
    <w:name w:val="Pojmy"/>
    <w:aliases w:val="def.,zkratky"/>
    <w:basedOn w:val="Normlny"/>
    <w:pPr>
      <w:tabs>
        <w:tab w:val="left" w:pos="2520"/>
        <w:tab w:val="left" w:pos="2700"/>
      </w:tabs>
      <w:ind w:left="2700" w:hanging="2700"/>
    </w:pPr>
  </w:style>
  <w:style w:type="paragraph" w:styleId="Obsah1">
    <w:name w:val="toc 1"/>
    <w:basedOn w:val="Normlny"/>
    <w:next w:val="Normlny"/>
    <w:uiPriority w:val="39"/>
    <w:pPr>
      <w:spacing w:line="360" w:lineRule="exact"/>
    </w:pPr>
  </w:style>
  <w:style w:type="paragraph" w:customStyle="1" w:styleId="Obsah">
    <w:name w:val="Obsah"/>
    <w:pPr>
      <w:tabs>
        <w:tab w:val="right" w:leader="dot" w:pos="9639"/>
      </w:tabs>
      <w:spacing w:line="360" w:lineRule="exact"/>
    </w:pPr>
    <w:rPr>
      <w:rFonts w:ascii="Arial" w:hAnsi="Arial"/>
      <w:szCs w:val="24"/>
    </w:rPr>
  </w:style>
  <w:style w:type="paragraph" w:styleId="Obsah2">
    <w:name w:val="toc 2"/>
    <w:basedOn w:val="Normlny"/>
    <w:next w:val="Normlny"/>
    <w:uiPriority w:val="39"/>
    <w:pPr>
      <w:spacing w:line="360" w:lineRule="exact"/>
      <w:ind w:left="200"/>
    </w:pPr>
  </w:style>
  <w:style w:type="character" w:customStyle="1" w:styleId="Nadpis3Char">
    <w:name w:val="Nadpis 3 Char"/>
    <w:link w:val="Nadpis3"/>
    <w:locked/>
    <w:rsid w:val="00C427B6"/>
    <w:rPr>
      <w:rFonts w:ascii="Arial" w:hAnsi="Arial" w:cs="Arial"/>
      <w:b/>
    </w:rPr>
  </w:style>
  <w:style w:type="paragraph" w:customStyle="1" w:styleId="Pojmydefinice">
    <w:name w:val="Pojmy. definice ..."/>
    <w:basedOn w:val="Normlny"/>
    <w:rsid w:val="00737AFC"/>
    <w:pPr>
      <w:tabs>
        <w:tab w:val="left" w:pos="3119"/>
      </w:tabs>
      <w:overflowPunct w:val="0"/>
      <w:autoSpaceDE w:val="0"/>
      <w:autoSpaceDN w:val="0"/>
      <w:adjustRightInd w:val="0"/>
      <w:spacing w:before="0" w:after="120"/>
      <w:ind w:left="3402" w:hanging="3402"/>
      <w:textAlignment w:val="baseline"/>
    </w:pPr>
    <w:rPr>
      <w:rFonts w:ascii="Times New Roman" w:hAnsi="Times New Roman"/>
      <w:bCs w:val="0"/>
      <w:sz w:val="22"/>
      <w:szCs w:val="20"/>
    </w:rPr>
  </w:style>
  <w:style w:type="paragraph" w:styleId="Obsah3">
    <w:name w:val="toc 3"/>
    <w:basedOn w:val="Normlny"/>
    <w:next w:val="Normlny"/>
    <w:semiHidden/>
    <w:pPr>
      <w:ind w:left="400"/>
    </w:pPr>
  </w:style>
  <w:style w:type="paragraph" w:styleId="Obyajntext">
    <w:name w:val="Plain Text"/>
    <w:basedOn w:val="Normlny"/>
    <w:rPr>
      <w:rFonts w:ascii="Courier New" w:hAnsi="Courier New" w:cs="Courier New"/>
      <w:szCs w:val="20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Textkomentra">
    <w:name w:val="annotation text"/>
    <w:basedOn w:val="Normlny"/>
    <w:link w:val="TextkomentraChar"/>
    <w:rsid w:val="005039C4"/>
    <w:rPr>
      <w:szCs w:val="20"/>
    </w:rPr>
  </w:style>
  <w:style w:type="character" w:customStyle="1" w:styleId="PtaChar">
    <w:name w:val="Päta Char"/>
    <w:link w:val="Pta"/>
    <w:semiHidden/>
    <w:locked/>
    <w:rsid w:val="00FB470B"/>
    <w:rPr>
      <w:rFonts w:ascii="Arial" w:hAnsi="Arial"/>
      <w:bCs/>
      <w:szCs w:val="24"/>
      <w:lang w:val="cs-CZ" w:eastAsia="cs-CZ" w:bidi="ar-SA"/>
    </w:rPr>
  </w:style>
  <w:style w:type="character" w:styleId="Hypertextovprepojenie">
    <w:name w:val="Hyperlink"/>
    <w:uiPriority w:val="99"/>
    <w:rsid w:val="00E85A92"/>
    <w:rPr>
      <w:color w:val="0000FF"/>
      <w:u w:val="single"/>
    </w:rPr>
  </w:style>
  <w:style w:type="table" w:styleId="Mriekatabuky">
    <w:name w:val="Table Grid"/>
    <w:basedOn w:val="Normlnatabuka"/>
    <w:rsid w:val="00102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rsid w:val="00705B66"/>
    <w:rPr>
      <w:color w:val="606420"/>
      <w:u w:val="single"/>
    </w:rPr>
  </w:style>
  <w:style w:type="paragraph" w:styleId="Textbubliny">
    <w:name w:val="Balloon Text"/>
    <w:basedOn w:val="Normlny"/>
    <w:link w:val="TextbublinyChar"/>
    <w:rsid w:val="00F3582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35829"/>
    <w:rPr>
      <w:rFonts w:ascii="Tahoma" w:hAnsi="Tahoma" w:cs="Tahoma"/>
      <w:bCs/>
      <w:sz w:val="16"/>
      <w:szCs w:val="16"/>
    </w:rPr>
  </w:style>
  <w:style w:type="paragraph" w:customStyle="1" w:styleId="pracovnipostup">
    <w:name w:val="pracovni_postup"/>
    <w:basedOn w:val="Zkladntext"/>
    <w:rsid w:val="00C90EDA"/>
    <w:pPr>
      <w:numPr>
        <w:numId w:val="18"/>
      </w:numPr>
      <w:suppressAutoHyphens/>
      <w:spacing w:before="0" w:line="360" w:lineRule="auto"/>
      <w:textAlignment w:val="baseline"/>
    </w:pPr>
    <w:rPr>
      <w:rFonts w:ascii="Tahoma" w:hAnsi="Tahoma"/>
      <w:bCs w:val="0"/>
      <w:kern w:val="1"/>
      <w:szCs w:val="20"/>
      <w:lang w:eastAsia="zh-CN"/>
    </w:rPr>
  </w:style>
  <w:style w:type="paragraph" w:styleId="Zkladntext">
    <w:name w:val="Body Text"/>
    <w:basedOn w:val="Normlny"/>
    <w:link w:val="ZkladntextChar"/>
    <w:rsid w:val="00C90EDA"/>
    <w:pPr>
      <w:spacing w:after="120"/>
    </w:pPr>
  </w:style>
  <w:style w:type="character" w:customStyle="1" w:styleId="ZkladntextChar">
    <w:name w:val="Základný text Char"/>
    <w:link w:val="Zkladntext"/>
    <w:rsid w:val="00C90EDA"/>
    <w:rPr>
      <w:rFonts w:ascii="Arial" w:hAnsi="Arial"/>
      <w:bCs/>
      <w:szCs w:val="24"/>
    </w:rPr>
  </w:style>
  <w:style w:type="character" w:styleId="Odkaznakomentr">
    <w:name w:val="annotation reference"/>
    <w:rsid w:val="00BF539E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BF539E"/>
    <w:rPr>
      <w:b/>
    </w:rPr>
  </w:style>
  <w:style w:type="character" w:customStyle="1" w:styleId="TextkomentraChar">
    <w:name w:val="Text komentára Char"/>
    <w:link w:val="Textkomentra"/>
    <w:rsid w:val="00BF539E"/>
    <w:rPr>
      <w:rFonts w:ascii="Arial" w:hAnsi="Arial"/>
      <w:bCs/>
    </w:rPr>
  </w:style>
  <w:style w:type="character" w:customStyle="1" w:styleId="PredmetkomentraChar">
    <w:name w:val="Predmet komentára Char"/>
    <w:link w:val="Predmetkomentra"/>
    <w:rsid w:val="00BF539E"/>
    <w:rPr>
      <w:rFonts w:ascii="Arial" w:hAnsi="Arial"/>
      <w:b/>
      <w:bCs/>
    </w:rPr>
  </w:style>
  <w:style w:type="character" w:styleId="Vrazn">
    <w:name w:val="Strong"/>
    <w:qFormat/>
    <w:rsid w:val="000F61B2"/>
    <w:rPr>
      <w:b/>
      <w:bCs/>
    </w:rPr>
  </w:style>
  <w:style w:type="paragraph" w:styleId="Odsekzoznamu">
    <w:name w:val="List Paragraph"/>
    <w:basedOn w:val="Normlny"/>
    <w:uiPriority w:val="34"/>
    <w:qFormat/>
    <w:rsid w:val="00F86723"/>
    <w:pPr>
      <w:spacing w:before="0"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paragraph" w:customStyle="1" w:styleId="Nadpis3-lnek">
    <w:name w:val="Nadpis 3 - článek"/>
    <w:basedOn w:val="Nadpis3"/>
    <w:qFormat/>
    <w:rsid w:val="00C427B6"/>
    <w:pPr>
      <w:keepNext w:val="0"/>
    </w:pPr>
    <w:rPr>
      <w:b w:val="0"/>
    </w:rPr>
  </w:style>
  <w:style w:type="paragraph" w:styleId="Revzia">
    <w:name w:val="Revision"/>
    <w:hidden/>
    <w:uiPriority w:val="99"/>
    <w:semiHidden/>
    <w:rsid w:val="00DE73EC"/>
    <w:rPr>
      <w:rFonts w:ascii="Arial" w:hAnsi="Arial"/>
      <w:bCs/>
      <w:szCs w:val="24"/>
    </w:rPr>
  </w:style>
  <w:style w:type="paragraph" w:styleId="Textpoznmkypodiarou">
    <w:name w:val="footnote text"/>
    <w:basedOn w:val="Normlny"/>
    <w:link w:val="TextpoznmkypodiarouChar"/>
    <w:rsid w:val="0062723C"/>
    <w:pPr>
      <w:spacing w:before="0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62723C"/>
    <w:rPr>
      <w:rFonts w:ascii="Arial" w:hAnsi="Arial"/>
      <w:bCs/>
    </w:rPr>
  </w:style>
  <w:style w:type="character" w:styleId="Odkaznapoznmkupodiarou">
    <w:name w:val="footnote reference"/>
    <w:basedOn w:val="Predvolenpsmoodseku"/>
    <w:rsid w:val="0062723C"/>
    <w:rPr>
      <w:vertAlign w:val="superscript"/>
    </w:rPr>
  </w:style>
  <w:style w:type="paragraph" w:styleId="Bezriadkovania">
    <w:name w:val="No Spacing"/>
    <w:link w:val="BezriadkovaniaChar"/>
    <w:uiPriority w:val="1"/>
    <w:qFormat/>
    <w:rsid w:val="007D5039"/>
    <w:rPr>
      <w:rFonts w:asciiTheme="minorHAnsi" w:eastAsiaTheme="minorEastAsia" w:hAnsiTheme="minorHAnsi" w:cstheme="minorBidi"/>
      <w:sz w:val="22"/>
      <w:szCs w:val="22"/>
      <w:lang w:val="sk-SK"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7D5039"/>
    <w:rPr>
      <w:rFonts w:asciiTheme="minorHAnsi" w:eastAsiaTheme="minorEastAsia" w:hAnsiTheme="minorHAnsi" w:cstheme="minorBidi"/>
      <w:sz w:val="22"/>
      <w:szCs w:val="22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4431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4490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65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76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51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90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75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87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172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0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8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226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77705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01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25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0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282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093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8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4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yperlink" Target="http://www.unipetrolrpa.cz/CS/sluzby-areal/chempark-zaluzi/Stranky/zavazne-normy-a-informace.aspx" TargetMode="External"/><Relationship Id="rId21" Type="http://schemas.openxmlformats.org/officeDocument/2006/relationships/image" Target="media/image6.wmf"/><Relationship Id="rId34" Type="http://schemas.openxmlformats.org/officeDocument/2006/relationships/image" Target="media/image18.png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5" Type="http://schemas.openxmlformats.org/officeDocument/2006/relationships/image" Target="media/image10.wmf"/><Relationship Id="rId33" Type="http://schemas.openxmlformats.org/officeDocument/2006/relationships/image" Target="media/image17.emf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image" Target="media/image5.wmf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media/image9.wmf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image" Target="media/image8.wmf"/><Relationship Id="rId28" Type="http://schemas.openxmlformats.org/officeDocument/2006/relationships/image" Target="media/image12.emf"/><Relationship Id="rId36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4.wmf"/><Relationship Id="rId31" Type="http://schemas.openxmlformats.org/officeDocument/2006/relationships/image" Target="media/image15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Relationship Id="rId22" Type="http://schemas.openxmlformats.org/officeDocument/2006/relationships/image" Target="media/image7.wmf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8" Type="http://schemas.openxmlformats.org/officeDocument/2006/relationships/styles" Target="styles.xml"/><Relationship Id="rId3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marekd\Plocha\nov&#225;%20S%20465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600e21f789104e5f1b3a8848e53089f5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0ff7e1b209285c519c7839898e7b9722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Hodnocení (0–5)" ma:decimals="2" ma:description="Průměrná hodnota všech odeslaných hodnocení" ma:indexed="true" ma:internalName="AverageRating" ma:readOnly="true">
      <xsd:simpleType>
        <xsd:restriction base="dms:Number"/>
      </xsd:simpleType>
    </xsd:element>
    <xsd:element name="RatingCount" ma:index="4" nillable="true" ma:displayName="Počet hodnocení" ma:decimals="0" ma:description="Počet odeslaných hodnocení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Směrnice</TermName>
          <TermId xmlns="http://schemas.microsoft.com/office/infopath/2007/PartnerControls">cf416af9-fd1f-4cc2-b36c-3483496e17f7</TermId>
        </TermInfo>
        <TermInfo xmlns="http://schemas.microsoft.com/office/infopath/2007/PartnerControls">
          <TermName xmlns="http://schemas.microsoft.com/office/infopath/2007/PartnerControls">Bezpečnost práce</TermName>
          <TermId xmlns="http://schemas.microsoft.com/office/infopath/2007/PartnerControls">88ea181d-5cd6-4113-9b6f-8a16faa0936c</TermId>
        </TermInfo>
        <TermInfo xmlns="http://schemas.microsoft.com/office/infopath/2007/PartnerControls">
          <TermName xmlns="http://schemas.microsoft.com/office/infopath/2007/PartnerControls">Požární ochrana</TermName>
          <TermId xmlns="http://schemas.microsoft.com/office/infopath/2007/PartnerControls">5cbd7925-f64c-4e21-88b9-1e84e87b6200</TermId>
        </TermInfo>
      </Terms>
    </b5ec7832de654d0ebcbe5c80e0297f73>
    <TaxCatchAll xmlns="82264717-bfb5-4834-a6b9-37340bc34ba2">
      <Value>2682</Value>
      <Value>2690</Value>
      <Value>2689</Value>
    </TaxCatchAll>
  </documentManagement>
</p:propertie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9318EA8-84EC-44EC-A482-791419DB6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01AC38-BD13-4B5E-A597-4C568A5966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FF9121-AC99-432F-B81B-AA26BD59C9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C57D6A-4B6F-48DB-BB99-894FDAC747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775935-0A91-4CA7-BDB1-8B91066AF01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82264717-bfb5-4834-a6b9-37340bc34ba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B2A49DF-0AD9-4F11-9128-761F7D3B670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nová S 465</Template>
  <TotalTime>5</TotalTime>
  <Pages>25</Pages>
  <Words>6412</Words>
  <Characters>39758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Povolování prací (Platnost od 1.1.2021)</vt:lpstr>
    </vt:vector>
  </TitlesOfParts>
  <Company>Admin</Company>
  <LinksUpToDate>false</LinksUpToDate>
  <CharactersWithSpaces>46078</CharactersWithSpaces>
  <SharedDoc>false</SharedDoc>
  <HLinks>
    <vt:vector size="144" baseType="variant">
      <vt:variant>
        <vt:i4>1572919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_Toc47093405</vt:lpwstr>
      </vt:variant>
      <vt:variant>
        <vt:i4>1638455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_Toc47093404</vt:lpwstr>
      </vt:variant>
      <vt:variant>
        <vt:i4>1966135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_Toc47093403</vt:lpwstr>
      </vt:variant>
      <vt:variant>
        <vt:i4>2031671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_Toc47093402</vt:lpwstr>
      </vt:variant>
      <vt:variant>
        <vt:i4>1835063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_Toc47093401</vt:lpwstr>
      </vt:variant>
      <vt:variant>
        <vt:i4>1900599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_Toc47093400</vt:lpwstr>
      </vt:variant>
      <vt:variant>
        <vt:i4>1245246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_Toc47093399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_Toc47093398</vt:lpwstr>
      </vt:variant>
      <vt:variant>
        <vt:i4>1900606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_Toc47093397</vt:lpwstr>
      </vt:variant>
      <vt:variant>
        <vt:i4>1835070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_Toc47093396</vt:lpwstr>
      </vt:variant>
      <vt:variant>
        <vt:i4>2031678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_Toc47093395</vt:lpwstr>
      </vt:variant>
      <vt:variant>
        <vt:i4>1966142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_Toc47093394</vt:lpwstr>
      </vt:variant>
      <vt:variant>
        <vt:i4>1572926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_Toc47093392</vt:lpwstr>
      </vt:variant>
      <vt:variant>
        <vt:i4>1769534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_Toc47093391</vt:lpwstr>
      </vt:variant>
      <vt:variant>
        <vt:i4>1703998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_Toc47093390</vt:lpwstr>
      </vt:variant>
      <vt:variant>
        <vt:i4>1245247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_Toc47093389</vt:lpwstr>
      </vt:variant>
      <vt:variant>
        <vt:i4>1179711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_Toc47093388</vt:lpwstr>
      </vt:variant>
      <vt:variant>
        <vt:i4>1900607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_Toc47093387</vt:lpwstr>
      </vt:variant>
      <vt:variant>
        <vt:i4>1835071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_Toc47093386</vt:lpwstr>
      </vt:variant>
      <vt:variant>
        <vt:i4>2031679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_Toc47093385</vt:lpwstr>
      </vt:variant>
      <vt:variant>
        <vt:i4>1966143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_Toc47093384</vt:lpwstr>
      </vt:variant>
      <vt:variant>
        <vt:i4>1638463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_Toc47093383</vt:lpwstr>
      </vt:variant>
      <vt:variant>
        <vt:i4>1572927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_Toc47093382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_Toc47093381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Povolování prací (Platnost od 1.1.2021)</dc:title>
  <dc:subject/>
  <dc:creator>David Marek</dc:creator>
  <cp:keywords/>
  <cp:lastModifiedBy>Petro Peter (UNP-SK)</cp:lastModifiedBy>
  <cp:revision>2</cp:revision>
  <cp:lastPrinted>2014-12-10T13:38:00Z</cp:lastPrinted>
  <dcterms:created xsi:type="dcterms:W3CDTF">2025-10-13T09:51:00Z</dcterms:created>
  <dcterms:modified xsi:type="dcterms:W3CDTF">2025-10-13T09:51:00Z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Category">
    <vt:lpwstr>2689;#Směrnice|cf416af9-fd1f-4cc2-b36c-3483496e17f7;#2682;#Bezpečnost práce|88ea181d-5cd6-4113-9b6f-8a16faa0936c;#2690;#Požární ochrana|5cbd7925-f64c-4e21-88b9-1e84e87b6200</vt:lpwstr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URL">
    <vt:lpwstr/>
  </property>
  <property fmtid="{D5CDD505-2E9C-101B-9397-08002B2CF9AE}" pid="5" name="ContentType">
    <vt:lpwstr>Dokument</vt:lpwstr>
  </property>
  <property fmtid="{D5CDD505-2E9C-101B-9397-08002B2CF9AE}" pid="6" name="DocumentSetDescription">
    <vt:lpwstr/>
  </property>
  <property fmtid="{D5CDD505-2E9C-101B-9397-08002B2CF9AE}" pid="7" name="Comments">
    <vt:lpwstr/>
  </property>
  <property fmtid="{D5CDD505-2E9C-101B-9397-08002B2CF9AE}" pid="8" name="PublishingContact">
    <vt:lpwstr/>
  </property>
  <property fmtid="{D5CDD505-2E9C-101B-9397-08002B2CF9AE}" pid="9" name="PublishingContactEmail">
    <vt:lpwstr/>
  </property>
  <property fmtid="{D5CDD505-2E9C-101B-9397-08002B2CF9AE}" pid="10" name="PublishingContactName">
    <vt:lpwstr/>
  </property>
  <property fmtid="{D5CDD505-2E9C-101B-9397-08002B2CF9AE}" pid="11" name="PublishingContactPicture">
    <vt:lpwstr/>
  </property>
  <property fmtid="{D5CDD505-2E9C-101B-9397-08002B2CF9AE}" pid="12" name="ABCFilter">
    <vt:lpwstr/>
  </property>
  <property fmtid="{D5CDD505-2E9C-101B-9397-08002B2CF9AE}" pid="13" name="CalendarFilter">
    <vt:lpwstr/>
  </property>
</Properties>
</file>